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720" w:before="60" w:line="3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/>
      </w:r>
    </w:p>
    <w:p>
      <w:pPr>
        <w:jc w:val="center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888888"/>
          <w:sz w:val="20"/>
          <w:szCs w:val="20"/>
        </w:rPr>
        <w:t xml:space="preserve">ITAMS K.K.  |  ITAM/SAM Policy Document</w:t>
      </w:r>
    </w:p>
    <w:p>
      <w:pPr>
        <w:spacing w:after="240" w:before="60" w:line="3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/>
      </w:r>
    </w:p>
    <w:p>
      <w:pPr>
        <w:pBdr>
          <w:top w:val="single" w:color="2E75B6" w:sz="0"/>
          <w:bottom w:val="single" w:color="2E75B6" w:sz="0"/>
        </w:pBdr>
        <w:shd w:fill="2E75B6" w:val="clear"/>
        <w:jc w:val="center"/>
      </w:pPr>
      <w:r>
        <w:rPr>
          <w:rFonts w:ascii="Arial" w:cs="Arial" w:eastAsia="Arial" w:hAnsi="Arial"/>
          <w:b/>
          <w:bCs/>
          <w:i w:val="false"/>
          <w:iCs w:val="false"/>
          <w:color w:val="FFFFFF"/>
          <w:sz w:val="20"/>
          <w:szCs w:val="20"/>
        </w:rPr>
        <w:t xml:space="preserve">規程（全社規程）</w:t>
      </w:r>
    </w:p>
    <w:p>
      <w:pPr>
        <w:spacing w:after="120" w:before="60" w:line="3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/>
      </w:r>
    </w:p>
    <w:p>
      <w:pPr>
        <w:spacing w:after="120" w:before="240"/>
        <w:jc w:val="center"/>
      </w:pPr>
      <w:r>
        <w:rPr>
          <w:rFonts w:ascii="Arial" w:cs="Arial" w:eastAsia="Arial" w:hAnsi="Arial"/>
          <w:b/>
          <w:bCs/>
          <w:i w:val="false"/>
          <w:iCs w:val="false"/>
          <w:color w:val="1F3864"/>
          <w:sz w:val="36"/>
          <w:szCs w:val="36"/>
        </w:rPr>
        <w:t xml:space="preserve">ITAM／SAM 統合基本規程</w:t>
      </w:r>
    </w:p>
    <w:p>
      <w:pPr>
        <w:spacing w:after="360" w:before="0"/>
        <w:jc w:val="center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888888"/>
          <w:sz w:val="22"/>
          <w:szCs w:val="22"/>
        </w:rPr>
        <w:t xml:space="preserve">ITAM-POL-001</w:t>
      </w:r>
    </w:p>
    <w:p>
      <w:pPr>
        <w:spacing w:after="480" w:before="0"/>
        <w:jc w:val="center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0"/>
          <w:szCs w:val="20"/>
        </w:rPr>
        <w:t xml:space="preserve">統治・適用範囲・原則・遵守義務・監査/例外を定義（全社規程）</w:t>
      </w:r>
    </w:p>
    <w:tbl>
      <w:tblPr>
        <w:tblW w:type="dxa" w:w="907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179"/>
        <w:gridCol w:w="3355"/>
        <w:gridCol w:w="1179"/>
        <w:gridCol w:w="3355"/>
      </w:tblGrid>
      <w:tr>
        <w:tc>
          <w:tcPr>
            <w:tcW w:type="dxa" w:w="1179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文書 ID</w:t>
            </w:r>
          </w:p>
        </w:tc>
        <w:tc>
          <w:tcPr>
            <w:tcW w:type="dxa" w:w="3355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ITAM-POL-001</w:t>
            </w:r>
          </w:p>
        </w:tc>
        <w:tc>
          <w:tcPr>
            <w:tcW w:type="dxa" w:w="1179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版数</w:t>
            </w:r>
          </w:p>
        </w:tc>
        <w:tc>
          <w:tcPr>
            <w:tcW w:type="dxa" w:w="3355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v1.0（初版）</w:t>
            </w:r>
          </w:p>
        </w:tc>
      </w:tr>
      <w:tr>
        <w:tc>
          <w:tcPr>
            <w:tcW w:type="dxa" w:w="1179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施行日</w:t>
            </w:r>
          </w:p>
        </w:tc>
        <w:tc>
          <w:tcPr>
            <w:tcW w:type="dxa" w:w="3355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{YYYY-MM-DD（未指定）}</w:t>
            </w:r>
          </w:p>
        </w:tc>
        <w:tc>
          <w:tcPr>
            <w:tcW w:type="dxa" w:w="1179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改定日</w:t>
            </w:r>
          </w:p>
        </w:tc>
        <w:tc>
          <w:tcPr>
            <w:tcW w:type="dxa" w:w="3355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{YYYY-MM-DD（未指定）}</w:t>
            </w:r>
          </w:p>
        </w:tc>
      </w:tr>
      <w:tr>
        <w:tc>
          <w:tcPr>
            <w:tcW w:type="dxa" w:w="1179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所管部門</w:t>
            </w:r>
          </w:p>
        </w:tc>
        <w:tc>
          <w:tcPr>
            <w:tcW w:type="dxa" w:w="3355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{ITAM統括部門（未指定）}</w:t>
            </w:r>
          </w:p>
        </w:tc>
        <w:tc>
          <w:tcPr>
            <w:tcW w:type="dxa" w:w="1179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承認者</w:t>
            </w:r>
          </w:p>
        </w:tc>
        <w:tc>
          <w:tcPr>
            <w:tcW w:type="dxa" w:w="3355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CIO（未指定）</w:t>
            </w:r>
          </w:p>
        </w:tc>
      </w:tr>
      <w:tr>
        <w:tc>
          <w:tcPr>
            <w:tcW w:type="dxa" w:w="1179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文書オーナー</w:t>
            </w:r>
          </w:p>
        </w:tc>
        <w:tc>
          <w:tcPr>
            <w:tcW w:type="dxa" w:w="3355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{ITAM統括責任者（未指定）}</w:t>
            </w:r>
          </w:p>
        </w:tc>
        <w:tc>
          <w:tcPr>
            <w:tcW w:type="dxa" w:w="1179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階層</w:t>
            </w:r>
          </w:p>
        </w:tc>
        <w:tc>
          <w:tcPr>
            <w:tcW w:type="dxa" w:w="3355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規程（全社規程）</w:t>
            </w:r>
          </w:p>
        </w:tc>
      </w:tr>
    </w:tbl>
    <w:p>
      <w:pPr>
        <w:spacing w:after="120" w:before="60" w:line="3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/>
      </w:r>
    </w:p>
    <w:p>
      <w:pPr>
        <w:spacing w:after="0" w:before="0"/>
      </w:pPr>
      <w:r>
        <w:rPr>
          <w:rFonts w:ascii="Arial" w:cs="Arial" w:eastAsia="Arial" w:hAnsi="Arial"/>
          <w:b w:val="false"/>
          <w:bCs w:val="false"/>
          <w:i/>
          <w:iCs/>
          <w:color w:val="888888"/>
          <w:sz w:val="18"/>
          <w:szCs w:val="18"/>
        </w:rPr>
        <w:t xml:space="preserve">注意：本文書は大手企業向けITAM/SAMポリシーテンプレートです。{未指定}と記載された箇所は、導入時に組織の実情に合わせて確定してください。</w:t>
      </w:r>
    </w:p>
    <w:p>
      <w:r>
        <w:br w:type="page"/>
      </w:r>
    </w:p>
    <w:p>
      <w:pPr>
        <w:pStyle w:val="Heading1"/>
        <w:spacing w:after="180" w:before="360"/>
      </w:pPr>
      <w:r>
        <w:rPr>
          <w:rFonts w:ascii="Arial" w:cs="Arial" w:eastAsia="Arial" w:hAnsi="Arial"/>
          <w:b/>
          <w:bCs/>
          <w:color w:val="1F3864"/>
          <w:sz w:val="28"/>
          <w:szCs w:val="28"/>
        </w:rPr>
        <w:t xml:space="preserve">目次</w:t>
      </w:r>
    </w:p>
    <w:sdt>
      <w:sdtPr>
        <w:alias w:val="目次"/>
      </w:sdtPr>
      <w:sdtContent>
        <w:p>
          <w:r>
            <w:fldChar w:fldCharType="begin" w:dirty="true"/>
            <w:instrText xml:space="preserve">TOC \h \o "1-3"</w:instrText>
            <w:fldChar w:fldCharType="separate"/>
          </w:r>
        </w:p>
        <w:p>
          <w:r>
            <w:fldChar w:fldCharType="end"/>
          </w:r>
        </w:p>
      </w:sdtContent>
    </w:sdt>
    <w:p>
      <w:r>
        <w:br w:type="page"/>
      </w:r>
    </w:p>
    <w:p>
      <w:pPr>
        <w:pStyle w:val="Heading1"/>
        <w:spacing w:after="180" w:before="360"/>
      </w:pPr>
      <w:r>
        <w:rPr>
          <w:rFonts w:ascii="Arial" w:cs="Arial" w:eastAsia="Arial" w:hAnsi="Arial"/>
          <w:b/>
          <w:bCs/>
          <w:color w:val="1F3864"/>
          <w:sz w:val="28"/>
          <w:szCs w:val="28"/>
        </w:rPr>
        <w:t xml:space="preserve">本文</w:t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第1章　目的・適用範囲・定義</w:t>
      </w:r>
    </w:p>
    <w:p>
      <w:pPr>
        <w:spacing w:after="80" w:before="200"/>
      </w:pPr>
      <w:r>
        <w:rPr>
          <w:rFonts w:ascii="Arial" w:cs="Arial" w:eastAsia="Arial" w:hAnsi="Arial"/>
          <w:b/>
          <w:bCs/>
          <w:color w:val="1F3864"/>
          <w:sz w:val="22"/>
          <w:szCs w:val="22"/>
        </w:rPr>
        <w:t xml:space="preserve">第1条</w:t>
      </w:r>
      <w:r>
        <w:rPr>
          <w:rFonts w:ascii="Arial" w:cs="Arial" w:eastAsia="Arial" w:hAnsi="Arial"/>
          <w:b/>
          <w:bCs/>
          <w:color w:val="000000"/>
          <w:sz w:val="22"/>
          <w:szCs w:val="22"/>
        </w:rPr>
        <w:t xml:space="preserve">　目的</w:t>
      </w:r>
    </w:p>
    <w:p>
      <w:pPr>
        <w:spacing w:after="60" w:before="60" w:line="3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本規程は、当社グループにおけるIT資産管理（ITAM）およびソフトウェア資産管理（SAM）を統合し、以下を目的として、必要な統治・責任・遵守事項を定める。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2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法令・契約・ライセンス条件の遵守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3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セキュリティおよびプライバシーの確保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4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コスト最適化およびIT投資効率の向上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5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ITサービスの品質保証と継続性の確保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6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監査対応可能性（説明責任）の確保</w:t>
      </w:r>
    </w:p>
    <w:p>
      <w:pPr>
        <w:spacing w:after="80" w:before="200"/>
      </w:pPr>
      <w:r>
        <w:rPr>
          <w:rFonts w:ascii="Arial" w:cs="Arial" w:eastAsia="Arial" w:hAnsi="Arial"/>
          <w:b/>
          <w:bCs/>
          <w:color w:val="1F3864"/>
          <w:sz w:val="22"/>
          <w:szCs w:val="22"/>
        </w:rPr>
        <w:t xml:space="preserve">第2条</w:t>
      </w:r>
      <w:r>
        <w:rPr>
          <w:rFonts w:ascii="Arial" w:cs="Arial" w:eastAsia="Arial" w:hAnsi="Arial"/>
          <w:b/>
          <w:bCs/>
          <w:color w:val="000000"/>
          <w:sz w:val="22"/>
          <w:szCs w:val="22"/>
        </w:rPr>
        <w:t xml:space="preserve">　適用範囲</w:t>
      </w:r>
    </w:p>
    <w:p>
      <w:pPr>
        <w:spacing w:after="60" w:before="60" w:line="3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本規程は、当社および子会社・関連会社（適用範囲：{未指定}）ならびに当社IT資産を取り扱う委託先に適用する。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2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本規程でいうIT資産は、ハードウェア（HW）、ソフトウェア（SW）、SaaS、仮想資産、モバイル端末、クラウド上の利用権・サブスクリプション・サービスを含む。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3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本規程の適用範囲から除外するIT資産がある場合は、第8条（例外）の手続に従う。</w:t>
      </w:r>
    </w:p>
    <w:p>
      <w:pPr>
        <w:spacing w:after="80" w:before="200"/>
      </w:pPr>
      <w:r>
        <w:rPr>
          <w:rFonts w:ascii="Arial" w:cs="Arial" w:eastAsia="Arial" w:hAnsi="Arial"/>
          <w:b/>
          <w:bCs/>
          <w:color w:val="1F3864"/>
          <w:sz w:val="22"/>
          <w:szCs w:val="22"/>
        </w:rPr>
        <w:t xml:space="preserve">第3条</w:t>
      </w:r>
      <w:r>
        <w:rPr>
          <w:rFonts w:ascii="Arial" w:cs="Arial" w:eastAsia="Arial" w:hAnsi="Arial"/>
          <w:b/>
          <w:bCs/>
          <w:color w:val="000000"/>
          <w:sz w:val="22"/>
          <w:szCs w:val="22"/>
        </w:rPr>
        <w:t xml:space="preserve">　定義</w:t>
      </w:r>
    </w:p>
    <w:p>
      <w:pPr>
        <w:spacing w:after="60" w:before="60" w:line="3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本規程の用語は別紙「用語集（ISO/IEC 19770-5準拠の用語統一）」に従う。以下に主要用語を例示する。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2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IT資産管理（ITAM）：ITライフサイクル全体を計画・管理し、価値最大化・コスト統制・リスク管理を行うプロセス。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3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ソフトウェア資産管理（SAM）：ソフトウェアライセンスの取得・展開・利用・廃棄を組織的に管理し、コンプライアンスとコスト最適化を実現するプロセス。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4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エンタイトルメント：組織が保有するソフトウェア利用権の総量（契約・注文書・ライセンス証書等により証明されるもの）。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5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台帳（CMDB/SoR）：IT資産の識別情報・状態・関係を管理する権威ある情報源（System of Record）。</w:t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第2章　基本原則</w:t>
      </w:r>
    </w:p>
    <w:p>
      <w:pPr>
        <w:spacing w:after="80" w:before="200"/>
      </w:pPr>
      <w:r>
        <w:rPr>
          <w:rFonts w:ascii="Arial" w:cs="Arial" w:eastAsia="Arial" w:hAnsi="Arial"/>
          <w:b/>
          <w:bCs/>
          <w:color w:val="1F3864"/>
          <w:sz w:val="22"/>
          <w:szCs w:val="22"/>
        </w:rPr>
        <w:t xml:space="preserve">第4条</w:t>
      </w:r>
      <w:r>
        <w:rPr>
          <w:rFonts w:ascii="Arial" w:cs="Arial" w:eastAsia="Arial" w:hAnsi="Arial"/>
          <w:b/>
          <w:bCs/>
          <w:color w:val="000000"/>
          <w:sz w:val="22"/>
          <w:szCs w:val="22"/>
        </w:rPr>
        <w:t xml:space="preserve">　基本原則</w:t>
      </w:r>
    </w:p>
    <w:p>
      <w:pPr>
        <w:spacing w:after="60" w:before="60" w:line="3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当社は、以下の原則に基づきIT資産管理を実施する。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2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当社は、IT資産管理システム（ITAMS）を確立し、維持し、継続的に改善する（ISO/IEC 19770-1 要求事項に準拠）。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3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当社は、IT資産のライフサイクル（仕様→取得→展開→運用→廃棄/返却）を通じて統制を適用する。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4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当社は、SaaSおよびクラウドに関するIT資産も含め、全社横断で可視化・統制する（グローバル対応を想定）。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5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当社は、IT資産管理データの正確性・完全性・最新性を維持するため、自動化・集中管理を基本とする。</w:t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第3章　役割と責任</w:t>
      </w:r>
    </w:p>
    <w:p>
      <w:pPr>
        <w:spacing w:after="80" w:before="200"/>
      </w:pPr>
      <w:r>
        <w:rPr>
          <w:rFonts w:ascii="Arial" w:cs="Arial" w:eastAsia="Arial" w:hAnsi="Arial"/>
          <w:b/>
          <w:bCs/>
          <w:color w:val="1F3864"/>
          <w:sz w:val="22"/>
          <w:szCs w:val="22"/>
        </w:rPr>
        <w:t xml:space="preserve">第5条</w:t>
      </w:r>
      <w:r>
        <w:rPr>
          <w:rFonts w:ascii="Arial" w:cs="Arial" w:eastAsia="Arial" w:hAnsi="Arial"/>
          <w:b/>
          <w:bCs/>
          <w:color w:val="000000"/>
          <w:sz w:val="22"/>
          <w:szCs w:val="22"/>
        </w:rPr>
        <w:t xml:space="preserve">　役割と責任</w:t>
      </w:r>
    </w:p>
    <w:p>
      <w:pPr>
        <w:spacing w:after="60" w:before="60" w:line="3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IT資産管理に関わる主な役割と責任（RACI）を以下のとおり定める。詳細なRACIマトリクスは別紙「RACI一覧」を参照すること。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2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CIO（未指定）は本規程の説明責任（Accountable）を負い、経営層への報告と必要なリソース確保を行う。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3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ITAM/SAM統括責任者（未指定）は本規程の運用責任（Responsible）を負い、必要な基準・手順・ツールを整備する。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4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情報セキュリティ責任者（CISO等・未指定）、法務、購買、財務、内部監査は所掌範囲で協議・助言を行う（Consulted）。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5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全従業員および委託先は、本規程に従い認可された手順によりIT資産を取得・利用・変更・廃棄する義務を負う（Informed）。</w:t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第4章　遵守義務</w:t>
      </w:r>
    </w:p>
    <w:p>
      <w:pPr>
        <w:spacing w:after="80" w:before="200"/>
      </w:pPr>
      <w:r>
        <w:rPr>
          <w:rFonts w:ascii="Arial" w:cs="Arial" w:eastAsia="Arial" w:hAnsi="Arial"/>
          <w:b/>
          <w:bCs/>
          <w:color w:val="1F3864"/>
          <w:sz w:val="22"/>
          <w:szCs w:val="22"/>
        </w:rPr>
        <w:t xml:space="preserve">第6条</w:t>
      </w:r>
      <w:r>
        <w:rPr>
          <w:rFonts w:ascii="Arial" w:cs="Arial" w:eastAsia="Arial" w:hAnsi="Arial"/>
          <w:b/>
          <w:bCs/>
          <w:color w:val="000000"/>
          <w:sz w:val="22"/>
          <w:szCs w:val="22"/>
        </w:rPr>
        <w:t xml:space="preserve">　遵守義務</w:t>
      </w:r>
    </w:p>
    <w:p>
      <w:pPr>
        <w:spacing w:after="60" w:before="60" w:line="3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従業員および委託先は、以下の義務を負う。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2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認可された手順によりIT資産を取得・利用・変更・廃棄しなければならない。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3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認可されていないソフトウェアの導入、未登録SaaSの業務利用（シャドーIT）は禁止する。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4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IT資産の異動・廃棄・所在変更が生じた場合は、速やかに所定の手順に従い台帳を更新しなければならない。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5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IT資産に関するライセンス条件・利用規約を把握し、違反を防止しなければならない。</w:t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第5章　記録・権限・ツール</w:t>
      </w:r>
    </w:p>
    <w:p>
      <w:pPr>
        <w:spacing w:after="80" w:before="200"/>
      </w:pPr>
      <w:r>
        <w:rPr>
          <w:rFonts w:ascii="Arial" w:cs="Arial" w:eastAsia="Arial" w:hAnsi="Arial"/>
          <w:b/>
          <w:bCs/>
          <w:color w:val="1F3864"/>
          <w:sz w:val="22"/>
          <w:szCs w:val="22"/>
        </w:rPr>
        <w:t xml:space="preserve">第7条</w:t>
      </w:r>
      <w:r>
        <w:rPr>
          <w:rFonts w:ascii="Arial" w:cs="Arial" w:eastAsia="Arial" w:hAnsi="Arial"/>
          <w:b/>
          <w:bCs/>
          <w:color w:val="000000"/>
          <w:sz w:val="22"/>
          <w:szCs w:val="22"/>
        </w:rPr>
        <w:t xml:space="preserve">　記録と権限</w:t>
      </w:r>
    </w:p>
    <w:p>
      <w:pPr>
        <w:spacing w:after="60" w:before="60" w:line="3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当社は以下の台帳・記録を維持する。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2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IT資産台帳、ソフトウェア台帳、SaaS台帳、契約・権利記録、利用量記録、監査証跡。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3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台帳の正は、別紙「SoR定義」に従い一意に定める。SoR以外の複製台帳の利用は制限する。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4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SoRデータ項目の定義・品質・アクセス権はデータオーナーが責任を負う。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5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個人情報を含む台帳データは、個人情報保護法およびプライバシーポリシーに従い取り扱う。</w:t>
      </w:r>
    </w:p>
    <w:p>
      <w:pPr>
        <w:spacing w:after="80" w:before="200"/>
      </w:pPr>
      <w:r>
        <w:rPr>
          <w:rFonts w:ascii="Arial" w:cs="Arial" w:eastAsia="Arial" w:hAnsi="Arial"/>
          <w:b/>
          <w:bCs/>
          <w:color w:val="1F3864"/>
          <w:sz w:val="22"/>
          <w:szCs w:val="22"/>
        </w:rPr>
        <w:t xml:space="preserve">第8条</w:t>
      </w:r>
      <w:r>
        <w:rPr>
          <w:rFonts w:ascii="Arial" w:cs="Arial" w:eastAsia="Arial" w:hAnsi="Arial"/>
          <w:b/>
          <w:bCs/>
          <w:color w:val="000000"/>
          <w:sz w:val="22"/>
          <w:szCs w:val="22"/>
        </w:rPr>
        <w:t xml:space="preserve">　例外管理</w:t>
      </w:r>
    </w:p>
    <w:p>
      <w:pPr>
        <w:spacing w:after="60" w:before="60" w:line="3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本規程からの例外は、別紙「例外管理手順書（{文書ID：未指定}）」に従い、期限付きで承認されなければならない。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2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例外申請は担当部門の上長および{承認者：未指定}の承認を必要とする。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3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承認された例外は台帳に記録し、期限到来時に再審査を行う。</w:t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第6章　監査・是正・懲戒</w:t>
      </w:r>
    </w:p>
    <w:p>
      <w:pPr>
        <w:spacing w:after="80" w:before="200"/>
      </w:pPr>
      <w:r>
        <w:rPr>
          <w:rFonts w:ascii="Arial" w:cs="Arial" w:eastAsia="Arial" w:hAnsi="Arial"/>
          <w:b/>
          <w:bCs/>
          <w:color w:val="1F3864"/>
          <w:sz w:val="22"/>
          <w:szCs w:val="22"/>
        </w:rPr>
        <w:t xml:space="preserve">第9条</w:t>
      </w:r>
      <w:r>
        <w:rPr>
          <w:rFonts w:ascii="Arial" w:cs="Arial" w:eastAsia="Arial" w:hAnsi="Arial"/>
          <w:b/>
          <w:bCs/>
          <w:color w:val="000000"/>
          <w:sz w:val="22"/>
          <w:szCs w:val="22"/>
        </w:rPr>
        <w:t xml:space="preserve">　監査・是正</w:t>
      </w:r>
    </w:p>
    <w:p>
      <w:pPr>
        <w:spacing w:after="60" w:before="60" w:line="3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当社は、内部監査（頻度：{未指定}）および必要な外部監査に協力し、監査指摘に対し是正処置を実施する。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2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監査は、ISO/IEC 19770-1 の要求事項に基づき実施し、証拠（記録）を必須とする。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3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監査指摘は是正チケット化し、原因分類（データ品質/プロセス逸脱/契約解釈/例外）と再発防止策を記録する。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4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重大な監査指摘は経営層に報告し、必要に応じてITAMSの改善計画を策定する。</w:t>
      </w:r>
    </w:p>
    <w:p>
      <w:pPr>
        <w:spacing w:after="80" w:before="200"/>
      </w:pPr>
      <w:r>
        <w:rPr>
          <w:rFonts w:ascii="Arial" w:cs="Arial" w:eastAsia="Arial" w:hAnsi="Arial"/>
          <w:b/>
          <w:bCs/>
          <w:color w:val="1F3864"/>
          <w:sz w:val="22"/>
          <w:szCs w:val="22"/>
        </w:rPr>
        <w:t xml:space="preserve">第10条</w:t>
      </w:r>
      <w:r>
        <w:rPr>
          <w:rFonts w:ascii="Arial" w:cs="Arial" w:eastAsia="Arial" w:hAnsi="Arial"/>
          <w:b/>
          <w:bCs/>
          <w:color w:val="000000"/>
          <w:sz w:val="22"/>
          <w:szCs w:val="22"/>
        </w:rPr>
        <w:t xml:space="preserve">　懲戒・契約上の措置</w:t>
      </w:r>
    </w:p>
    <w:p>
      <w:pPr>
        <w:spacing w:after="60" w:before="60" w:line="3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本規程違反が重大な場合、就業規則等（{未指定}）または委託契約に基づく措置を行う。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2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不正なソフトウェア利用・ライセンス違反が確認された場合、速やかに是正措置を講じるとともに、必要に応じて法的対応を検討する。</w:t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第7章　関連文書・参照規格</w:t>
      </w:r>
    </w:p>
    <w:p>
      <w:pPr>
        <w:pStyle w:val="Heading3"/>
        <w:spacing w:after="80" w:before="180"/>
      </w:pPr>
      <w:r>
        <w:rPr>
          <w:rFonts w:ascii="Arial" w:cs="Arial" w:eastAsia="Arial" w:hAnsi="Arial"/>
          <w:b/>
          <w:bCs/>
          <w:color w:val="444444"/>
          <w:sz w:val="22"/>
          <w:szCs w:val="22"/>
        </w:rPr>
        <w:t xml:space="preserve">関連文書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ITAM-STD-001 IT資産管理基準（台帳・CMDB）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ITAM-STD-002 ソフトウェア資産管理基準（ライセンス/OSS含む）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ITAM-STD-003 SaaS管理基準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ITAM-STD-004 クラウド/仮想資産・コスト管理基準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ITAM-OPS-001 ITAM/SAM運用プロセス定義書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ITAM-OPS-002 監査・コンプライアンス対応手順書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ITAM-REQ-001 ツール連携要件定義（ITSM/CMDB/SAM）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ITAM-GLO-001 用語集（ISO/IEC 19770-5準拠）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ITAM-EXC-001 例外管理手順書</w:t>
      </w:r>
    </w:p>
    <w:p>
      <w:pPr>
        <w:pStyle w:val="Heading3"/>
        <w:spacing w:after="80" w:before="180"/>
      </w:pPr>
      <w:r>
        <w:rPr>
          <w:rFonts w:ascii="Arial" w:cs="Arial" w:eastAsia="Arial" w:hAnsi="Arial"/>
          <w:b/>
          <w:bCs/>
          <w:color w:val="444444"/>
          <w:sz w:val="22"/>
          <w:szCs w:val="22"/>
        </w:rPr>
        <w:t xml:space="preserve">参照規格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ISO/IEC 19770-1（IT資産管理システム要求事項）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ISO/IEC TS 19770-10（管理システム/機能管理/ライフサイクル）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ISO/IEC 19770-5（用語・概念）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ITIL 4（IT資産管理・サービス構成管理実践ガイド）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日本「サイバーセキュリティ経営ガイドライン」（経済産業省）</w:t>
      </w:r>
    </w:p>
    <w:p>
      <w:pPr>
        <w:spacing w:after="60" w:before="60" w:line="3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/>
      </w:r>
    </w:p>
    <w:p>
      <w:r>
        <w:br w:type="page"/>
      </w:r>
    </w:p>
    <w:p>
      <w:pPr>
        <w:pStyle w:val="Heading1"/>
        <w:spacing w:after="180" w:before="360"/>
      </w:pPr>
      <w:r>
        <w:rPr>
          <w:rFonts w:ascii="Arial" w:cs="Arial" w:eastAsia="Arial" w:hAnsi="Arial"/>
          <w:b/>
          <w:bCs/>
          <w:color w:val="1F3864"/>
          <w:sz w:val="28"/>
          <w:szCs w:val="28"/>
        </w:rPr>
        <w:t xml:space="preserve">改定履歴</w:t>
      </w:r>
    </w:p>
    <w:tbl>
      <w:tblPr>
        <w:tblW w:type="dxa" w:w="907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7"/>
        <w:gridCol w:w="1814"/>
        <w:gridCol w:w="4535"/>
        <w:gridCol w:w="1814"/>
      </w:tblGrid>
      <w:tr>
        <w:tc>
          <w:tcPr>
            <w:tcW w:type="dxa" w:w="907"/>
            <w:tcBorders>
              <w:top w:val="single" w:color="2E75B6" w:sz="4"/>
              <w:left w:val="single" w:color="2E75B6" w:sz="4"/>
              <w:bottom w:val="single" w:color="2E75B6" w:sz="4"/>
              <w:right w:val="single" w:color="2E75B6" w:sz="4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版数</w:t>
            </w:r>
          </w:p>
        </w:tc>
        <w:tc>
          <w:tcPr>
            <w:tcW w:type="dxa" w:w="1814"/>
            <w:tcBorders>
              <w:top w:val="single" w:color="2E75B6" w:sz="4"/>
              <w:left w:val="single" w:color="2E75B6" w:sz="4"/>
              <w:bottom w:val="single" w:color="2E75B6" w:sz="4"/>
              <w:right w:val="single" w:color="2E75B6" w:sz="4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施行日</w:t>
            </w:r>
          </w:p>
        </w:tc>
        <w:tc>
          <w:tcPr>
            <w:tcW w:type="dxa" w:w="4535"/>
            <w:tcBorders>
              <w:top w:val="single" w:color="2E75B6" w:sz="4"/>
              <w:left w:val="single" w:color="2E75B6" w:sz="4"/>
              <w:bottom w:val="single" w:color="2E75B6" w:sz="4"/>
              <w:right w:val="single" w:color="2E75B6" w:sz="4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改定内容</w:t>
            </w:r>
          </w:p>
        </w:tc>
        <w:tc>
          <w:tcPr>
            <w:tcW w:type="dxa" w:w="1814"/>
            <w:tcBorders>
              <w:top w:val="single" w:color="2E75B6" w:sz="4"/>
              <w:left w:val="single" w:color="2E75B6" w:sz="4"/>
              <w:bottom w:val="single" w:color="2E75B6" w:sz="4"/>
              <w:right w:val="single" w:color="2E75B6" w:sz="4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承認者</w:t>
            </w:r>
          </w:p>
        </w:tc>
      </w:tr>
      <w:tr>
        <w:tc>
          <w:tcPr>
            <w:tcW w:type="dxa" w:w="907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v1.0</w:t>
            </w:r>
          </w:p>
        </w:tc>
        <w:tc>
          <w:tcPr>
            <w:tcW w:type="dxa" w:w="1814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YYYY-MM-DD</w:t>
            </w:r>
          </w:p>
        </w:tc>
        <w:tc>
          <w:tcPr>
            <w:tcW w:type="dxa" w:w="4535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（改定内容を記載）</w:t>
            </w:r>
          </w:p>
        </w:tc>
        <w:tc>
          <w:tcPr>
            <w:tcW w:type="dxa" w:w="1814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（承認者）</w:t>
            </w:r>
          </w:p>
        </w:tc>
      </w:tr>
      <w:tr>
        <w:tc>
          <w:tcPr>
            <w:tcW w:type="dxa" w:w="907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v1.1</w:t>
            </w:r>
          </w:p>
        </w:tc>
        <w:tc>
          <w:tcPr>
            <w:tcW w:type="dxa" w:w="1814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YYYY-MM-DD</w:t>
            </w:r>
          </w:p>
        </w:tc>
        <w:tc>
          <w:tcPr>
            <w:tcW w:type="dxa" w:w="4535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（改定内容を記載）</w:t>
            </w:r>
          </w:p>
        </w:tc>
        <w:tc>
          <w:tcPr>
            <w:tcW w:type="dxa" w:w="1814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（承認者）</w:t>
            </w:r>
          </w:p>
        </w:tc>
      </w:tr>
      <w:tr>
        <w:tc>
          <w:tcPr>
            <w:tcW w:type="dxa" w:w="907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v2.0</w:t>
            </w:r>
          </w:p>
        </w:tc>
        <w:tc>
          <w:tcPr>
            <w:tcW w:type="dxa" w:w="1814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YYYY-MM-DD</w:t>
            </w:r>
          </w:p>
        </w:tc>
        <w:tc>
          <w:tcPr>
            <w:tcW w:type="dxa" w:w="4535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（改定内容を記載）</w:t>
            </w:r>
          </w:p>
        </w:tc>
        <w:tc>
          <w:tcPr>
            <w:tcW w:type="dxa" w:w="1814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（承認者）</w:t>
            </w:r>
          </w:p>
        </w:tc>
      </w:tr>
    </w:tbl>
    <w:p>
      <w:pPr>
        <w:spacing w:after="60" w:before="60" w:line="3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/>
      </w:r>
    </w:p>
    <w:sectPr>
      <w:headerReference w:type="default" r:id="rId7"/>
      <w:footerReference w:type="default" r:id="rId8"/>
      <w:pgSz w:w="11906" w:h="16838" w:orient="portrait"/>
      <w:pgMar w:top="1418" w:right="1418" w:bottom="1418" w:left="1418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CCCCCC" w:sz="4" w:space="4"/>
      </w:pBdr>
      <w:spacing w:before="80"/>
      <w:jc w:val="center"/>
    </w:pPr>
    <w:r>
      <w:rPr>
        <w:rFonts w:ascii="Arial" w:cs="Arial" w:eastAsia="Arial" w:hAnsi="Arial"/>
        <w:color w:val="888888"/>
        <w:sz w:val="18"/>
        <w:szCs w:val="18"/>
      </w:rPr>
      <w:t xml:space="preserve">ITAM-POL-001  |  Copyright 2026 ITAMS K.K.  |  </w:t>
    </w:r>
    <w:r>
      <w:rPr>
        <w:rFonts w:ascii="Arial" w:cs="Arial" w:eastAsia="Arial" w:hAnsi="Arial"/>
        <w:color w:val="888888"/>
        <w:sz w:val="18"/>
        <w:szCs w:val="18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color w:val="888888"/>
        <w:sz w:val="18"/>
        <w:szCs w:val="18"/>
      </w:rPr>
      <w:t xml:space="preserve"> / </w:t>
    </w:r>
    <w:r>
      <w:rPr>
        <w:rFonts w:ascii="Arial" w:cs="Arial" w:eastAsia="Arial" w:hAnsi="Arial"/>
        <w:color w:val="888888"/>
        <w:sz w:val="18"/>
        <w:szCs w:val="18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2E75B6" w:sz="6" w:space="4"/>
      </w:pBdr>
      <w:tabs>
        <w:tab w:val="right" w:pos="9070"/>
      </w:tabs>
      <w:spacing w:after="80"/>
    </w:pPr>
    <w:r>
      <w:rPr>
        <w:rFonts w:ascii="Arial" w:cs="Arial" w:eastAsia="Arial" w:hAnsi="Arial"/>
        <w:color w:val="1F3864"/>
        <w:sz w:val="18"/>
        <w:szCs w:val="18"/>
      </w:rPr>
      <w:t xml:space="preserve">ITAM／SAM 統合基本規程</w:t>
    </w:r>
    <w:r>
      <w:rPr>
        <w:rFonts w:ascii="Arial" w:cs="Arial" w:eastAsia="Arial" w:hAnsi="Arial"/>
      </w:rPr>
      <w:t xml:space="preserve">	</w:t>
    </w:r>
    <w:r>
      <w:rPr>
        <w:rFonts w:ascii="Arial" w:cs="Arial" w:eastAsia="Arial" w:hAnsi="Arial"/>
        <w:color w:val="888888"/>
        <w:sz w:val="18"/>
        <w:szCs w:val="18"/>
      </w:rPr>
      <w:t xml:space="preserve">ITAM-POL-001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bullet"/>
      <w:lvlText w:val="－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80" w:before="360"/>
      <w:outlineLvl w:val="0"/>
    </w:pPr>
    <w:rPr>
      <w:rFonts w:ascii="Arial" w:cs="Arial" w:eastAsia="Arial" w:hAnsi="Arial"/>
      <w:b/>
      <w:bCs/>
      <w:color w:val="1F3864"/>
      <w:sz w:val="28"/>
      <w:szCs w:val="28"/>
    </w:rPr>
  </w:style>
  <w:style w:type="paragraph" w:styleId="Heading2">
    <w:name w:val="Heading 2"/>
    <w:basedOn w:val="Normal"/>
    <w:next w:val="Normal"/>
    <w:qFormat/>
    <w:pPr>
      <w:spacing w:after="120" w:before="240"/>
      <w:outlineLvl w:val="1"/>
    </w:pPr>
    <w:rPr>
      <w:rFonts w:ascii="Arial" w:cs="Arial" w:eastAsia="Arial" w:hAnsi="Arial"/>
      <w:b/>
      <w:bCs/>
      <w:color w:val="2E75B6"/>
      <w:sz w:val="24"/>
      <w:szCs w:val="24"/>
    </w:rPr>
  </w:style>
  <w:style w:type="paragraph" w:styleId="Heading3">
    <w:name w:val="Heading 3"/>
    <w:basedOn w:val="Normal"/>
    <w:next w:val="Normal"/>
    <w:qFormat/>
    <w:pPr>
      <w:spacing w:after="80" w:before="180"/>
      <w:outlineLvl w:val="2"/>
    </w:pPr>
    <w:rPr>
      <w:rFonts w:ascii="Arial" w:cs="Arial" w:eastAsia="Arial" w:hAnsi="Arial"/>
      <w:b/>
      <w:bCs/>
      <w:color w:val="444444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2026-04-22T09:51:34.133Z</dcterms:created>
  <dcterms:modified xsi:type="dcterms:W3CDTF">2026-04-22T09:51:34.134Z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