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72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/>
      </w:r>
    </w:p>
    <w:p>
      <w:pPr>
        <w:jc w:val="center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888888"/>
          <w:sz w:val="20"/>
          <w:szCs w:val="20"/>
        </w:rPr>
        <w:t xml:space="preserve">ITAMS K.K.  |  ITAM/SAM Policy Document</w:t>
      </w:r>
    </w:p>
    <w:p>
      <w:pPr>
        <w:spacing w:after="24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/>
      </w:r>
    </w:p>
    <w:p>
      <w:pPr>
        <w:pBdr>
          <w:top w:val="single" w:color="2E75B6" w:sz="0"/>
          <w:bottom w:val="single" w:color="2E75B6" w:sz="0"/>
        </w:pBdr>
        <w:shd w:fill="2E75B6" w:val="clear"/>
        <w:jc w:val="center"/>
      </w:pPr>
      <w:r>
        <w:rPr>
          <w:rFonts w:ascii="Arial" w:cs="Arial" w:eastAsia="Arial" w:hAnsi="Arial"/>
          <w:b/>
          <w:bCs/>
          <w:i w:val="false"/>
          <w:iCs w:val="false"/>
          <w:color w:val="FFFFFF"/>
          <w:sz w:val="20"/>
          <w:szCs w:val="20"/>
        </w:rPr>
        <w:t xml:space="preserve">基準（IT資産台帳）</w:t>
      </w:r>
    </w:p>
    <w:p>
      <w:pPr>
        <w:spacing w:after="12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/>
      </w:r>
    </w:p>
    <w:p>
      <w:pPr>
        <w:spacing w:after="120" w:before="240"/>
        <w:jc w:val="center"/>
      </w:pPr>
      <w:r>
        <w:rPr>
          <w:rFonts w:ascii="Arial" w:cs="Arial" w:eastAsia="Arial" w:hAnsi="Arial"/>
          <w:b/>
          <w:bCs/>
          <w:i w:val="false"/>
          <w:iCs w:val="false"/>
          <w:color w:val="1F3864"/>
          <w:sz w:val="36"/>
          <w:szCs w:val="36"/>
        </w:rPr>
        <w:t xml:space="preserve">IT資産管理基準（台帳・CMDB）</w:t>
      </w:r>
    </w:p>
    <w:p>
      <w:pPr>
        <w:spacing w:after="360" w:before="0"/>
        <w:jc w:val="center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888888"/>
          <w:sz w:val="22"/>
          <w:szCs w:val="22"/>
        </w:rPr>
        <w:t xml:space="preserve">ITAM-STD-001</w:t>
      </w:r>
    </w:p>
    <w:p>
      <w:pPr>
        <w:spacing w:after="480" w:before="0"/>
        <w:jc w:val="center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0"/>
          <w:szCs w:val="20"/>
        </w:rPr>
        <w:t xml:space="preserve">台帳項目・識別子・棚卸頻度・CMDB連携・品質KPIを標準化</w:t>
      </w:r>
    </w:p>
    <w:tbl>
      <w:tblPr>
        <w:tblW w:type="dxa" w:w="907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179"/>
        <w:gridCol w:w="3355"/>
        <w:gridCol w:w="1179"/>
        <w:gridCol w:w="3355"/>
      </w:tblGrid>
      <w:tr>
        <w:tc>
          <w:tcPr>
            <w:tcW w:type="dxa" w:w="1179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文書 ID</w:t>
            </w:r>
          </w:p>
        </w:tc>
        <w:tc>
          <w:tcPr>
            <w:tcW w:type="dxa" w:w="3355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ITAM-STD-001</w:t>
            </w:r>
          </w:p>
        </w:tc>
        <w:tc>
          <w:tcPr>
            <w:tcW w:type="dxa" w:w="1179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版数</w:t>
            </w:r>
          </w:p>
        </w:tc>
        <w:tc>
          <w:tcPr>
            <w:tcW w:type="dxa" w:w="3355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v1.0（初版）</w:t>
            </w:r>
          </w:p>
        </w:tc>
      </w:tr>
      <w:tr>
        <w:tc>
          <w:tcPr>
            <w:tcW w:type="dxa" w:w="1179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施行日</w:t>
            </w:r>
          </w:p>
        </w:tc>
        <w:tc>
          <w:tcPr>
            <w:tcW w:type="dxa" w:w="3355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{YYYY-MM-DD（未指定）}</w:t>
            </w:r>
          </w:p>
        </w:tc>
        <w:tc>
          <w:tcPr>
            <w:tcW w:type="dxa" w:w="1179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改定日</w:t>
            </w:r>
          </w:p>
        </w:tc>
        <w:tc>
          <w:tcPr>
            <w:tcW w:type="dxa" w:w="3355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{YYYY-MM-DD（未指定）}</w:t>
            </w:r>
          </w:p>
        </w:tc>
      </w:tr>
      <w:tr>
        <w:tc>
          <w:tcPr>
            <w:tcW w:type="dxa" w:w="1179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所管部門</w:t>
            </w:r>
          </w:p>
        </w:tc>
        <w:tc>
          <w:tcPr>
            <w:tcW w:type="dxa" w:w="3355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{IT運用部門（未指定）}</w:t>
            </w:r>
          </w:p>
        </w:tc>
        <w:tc>
          <w:tcPr>
            <w:tcW w:type="dxa" w:w="1179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承認者</w:t>
            </w:r>
          </w:p>
        </w:tc>
        <w:tc>
          <w:tcPr>
            <w:tcW w:type="dxa" w:w="3355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IT運用責任者（未指定）</w:t>
            </w:r>
          </w:p>
        </w:tc>
      </w:tr>
      <w:tr>
        <w:tc>
          <w:tcPr>
            <w:tcW w:type="dxa" w:w="1179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上位規程</w:t>
            </w:r>
          </w:p>
        </w:tc>
        <w:tc>
          <w:tcPr>
            <w:tcW w:type="dxa" w:w="3355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ITAM-POL-001 ITAM/SAM統合基本規程</w:t>
            </w:r>
          </w:p>
        </w:tc>
        <w:tc>
          <w:tcPr>
            <w:tcW w:type="dxa" w:w="1179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階層</w:t>
            </w:r>
          </w:p>
        </w:tc>
        <w:tc>
          <w:tcPr>
            <w:tcW w:type="dxa" w:w="3355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基準（IT資産台帳・CMDB）</w:t>
            </w:r>
          </w:p>
        </w:tc>
      </w:tr>
    </w:tbl>
    <w:p>
      <w:pPr>
        <w:spacing w:after="12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/>
      </w:r>
    </w:p>
    <w:p>
      <w:pPr>
        <w:spacing w:after="0" w:before="0"/>
      </w:pPr>
      <w:r>
        <w:rPr>
          <w:rFonts w:ascii="Arial" w:cs="Arial" w:eastAsia="Arial" w:hAnsi="Arial"/>
          <w:b w:val="false"/>
          <w:bCs w:val="false"/>
          <w:i/>
          <w:iCs/>
          <w:color w:val="888888"/>
          <w:sz w:val="18"/>
          <w:szCs w:val="18"/>
        </w:rPr>
        <w:t xml:space="preserve">注意：本文書は大手企業向けITAM/SAMポリシーテンプレートです。{未指定}と記載された箇所は、導入時に組織の実情に合わせて確定してください。</w:t>
      </w:r>
    </w:p>
    <w:p>
      <w:r>
        <w:br w:type="page"/>
      </w:r>
    </w:p>
    <w:p>
      <w:pPr>
        <w:pStyle w:val="Heading1"/>
        <w:spacing w:after="180" w:before="360"/>
      </w:pPr>
      <w:r>
        <w:rPr>
          <w:rFonts w:ascii="Arial" w:cs="Arial" w:eastAsia="Arial" w:hAnsi="Arial"/>
          <w:b/>
          <w:bCs/>
          <w:color w:val="1F3864"/>
          <w:sz w:val="28"/>
          <w:szCs w:val="28"/>
        </w:rPr>
        <w:t xml:space="preserve">目次</w:t>
      </w:r>
    </w:p>
    <w:sdt>
      <w:sdtPr>
        <w:alias w:val="目次"/>
      </w:sdtPr>
      <w:sdtContent>
        <w:p>
          <w:r>
            <w:fldChar w:fldCharType="begin" w:dirty="true"/>
            <w:instrText xml:space="preserve">TOC \h \o "1-3"</w:instrText>
            <w:fldChar w:fldCharType="separate"/>
          </w:r>
        </w:p>
        <w:p>
          <w:r>
            <w:fldChar w:fldCharType="end"/>
          </w:r>
        </w:p>
      </w:sdtContent>
    </w:sdt>
    <w:p>
      <w:r>
        <w:br w:type="page"/>
      </w:r>
    </w:p>
    <w:p>
      <w:pPr>
        <w:pStyle w:val="Heading1"/>
        <w:spacing w:after="180" w:before="360"/>
      </w:pPr>
      <w:r>
        <w:rPr>
          <w:rFonts w:ascii="Arial" w:cs="Arial" w:eastAsia="Arial" w:hAnsi="Arial"/>
          <w:b/>
          <w:bCs/>
          <w:color w:val="1F3864"/>
          <w:sz w:val="28"/>
          <w:szCs w:val="28"/>
        </w:rPr>
        <w:t xml:space="preserve">本文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第1章　目的・適用範囲</w:t>
      </w:r>
    </w:p>
    <w:p>
      <w:pPr>
        <w:spacing w:after="80" w:before="200"/>
      </w:pPr>
      <w:r>
        <w:rPr>
          <w:rFonts w:ascii="Arial" w:cs="Arial" w:eastAsia="Arial" w:hAnsi="Arial"/>
          <w:b/>
          <w:bCs/>
          <w:color w:val="1F3864"/>
          <w:sz w:val="22"/>
          <w:szCs w:val="22"/>
        </w:rPr>
        <w:t xml:space="preserve">第1条</w:t>
      </w: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　目的</w:t>
      </w:r>
    </w:p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本基準は、IT資産台帳およびCMDBの登録要件、識別子、更新タイミング、棚卸頻度、品質KPI、ツール連携要件を定め、IT資産の可視性・正確性・一貫性を確保することを目的とする。</w:t>
      </w:r>
    </w:p>
    <w:p>
      <w:pPr>
        <w:spacing w:after="80" w:before="200"/>
      </w:pPr>
      <w:r>
        <w:rPr>
          <w:rFonts w:ascii="Arial" w:cs="Arial" w:eastAsia="Arial" w:hAnsi="Arial"/>
          <w:b/>
          <w:bCs/>
          <w:color w:val="1F3864"/>
          <w:sz w:val="22"/>
          <w:szCs w:val="22"/>
        </w:rPr>
        <w:t xml:space="preserve">第2条</w:t>
      </w: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　適用範囲</w:t>
      </w:r>
    </w:p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本基準は、IT部門・子会社・委託先における以下の資産カテゴリに適用する。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2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ハードウェア（HW）：PC・サーバ・ネットワーク機器・周辺機器・ストレージ・プリンタ等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3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仮想資産：仮想マシン・コンテナ・クラウドリソース（IaaS/PaaS）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4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モバイル端末：スマートフォン・タブレット・MDM管理デバイス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5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ソフトウェア（インストール記録）：ソフトウェア識別はITAM-STD-002を参照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6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ネットワーク機器・OT資産（対象範囲は{未指定}）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第2章　SoRとデータ責任</w:t>
      </w:r>
    </w:p>
    <w:p>
      <w:pPr>
        <w:spacing w:after="80" w:before="200"/>
      </w:pPr>
      <w:r>
        <w:rPr>
          <w:rFonts w:ascii="Arial" w:cs="Arial" w:eastAsia="Arial" w:hAnsi="Arial"/>
          <w:b/>
          <w:bCs/>
          <w:color w:val="1F3864"/>
          <w:sz w:val="22"/>
          <w:szCs w:val="22"/>
        </w:rPr>
        <w:t xml:space="preserve">第3条</w:t>
      </w: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　System of Record（SoR）の定義</w:t>
      </w:r>
    </w:p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SoRは以下のとおり定める（{未指定}の箇所は導入時に決定する）。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2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物理資産台帳 SoR：{CMDB/ITAMツール/ERP等：未指定}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3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ソフトウェア検知 SoR：{SAMツール/EDR/MDM等：未指定}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4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契約・購買 SoR：{購買システム：未指定}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5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人・組織 SoR：{HRシステム：未指定}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6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認証・ID SoR：{IAM/SSO：未指定}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7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SoRデータ項目の定義・品質・アクセス権はデータオーナーが責任を負う。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8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二重台帳は原則禁止し、SoR以外の参照システムはSoRから同期する。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第3章　必須登録項目</w:t>
      </w:r>
    </w:p>
    <w:p>
      <w:pPr>
        <w:spacing w:after="80" w:before="200"/>
      </w:pPr>
      <w:r>
        <w:rPr>
          <w:rFonts w:ascii="Arial" w:cs="Arial" w:eastAsia="Arial" w:hAnsi="Arial"/>
          <w:b/>
          <w:bCs/>
          <w:color w:val="1F3864"/>
          <w:sz w:val="22"/>
          <w:szCs w:val="22"/>
        </w:rPr>
        <w:t xml:space="preserve">第4条</w:t>
      </w: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　資産カテゴリ別必須項目</w:t>
      </w:r>
    </w:p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資産カテゴリごとに以下の必須項目を登録する。</w:t>
      </w:r>
    </w:p>
    <w:p>
      <w:pPr>
        <w:pStyle w:val="Heading3"/>
        <w:spacing w:after="80" w:before="180"/>
      </w:pPr>
      <w:r>
        <w:rPr>
          <w:rFonts w:ascii="Arial" w:cs="Arial" w:eastAsia="Arial" w:hAnsi="Arial"/>
          <w:b/>
          <w:bCs/>
          <w:color w:val="444444"/>
          <w:sz w:val="22"/>
          <w:szCs w:val="22"/>
        </w:rPr>
        <w:t xml:space="preserve">ハードウェア（HW）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資産ID（一意識別子）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型番・製造番号（シリアル）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HWID（HWIDタグ取得可能な場合。ISO/IEC 19770-6準拠）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保有/リース区分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所在（ロケーション・拠点コード）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利用者（担当者氏名・社員番号）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状態（稼働中/倉庫/修理中/廃棄予定/廃棄済）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取得日・保証期間・廃棄日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コストセンター/費用負担部門</w:t>
      </w:r>
    </w:p>
    <w:p>
      <w:pPr>
        <w:pStyle w:val="Heading3"/>
        <w:spacing w:after="80" w:before="180"/>
      </w:pPr>
      <w:r>
        <w:rPr>
          <w:rFonts w:ascii="Arial" w:cs="Arial" w:eastAsia="Arial" w:hAnsi="Arial"/>
          <w:b/>
          <w:bCs/>
          <w:color w:val="444444"/>
          <w:sz w:val="22"/>
          <w:szCs w:val="22"/>
        </w:rPr>
        <w:t xml:space="preserve">仮想資産・クラウドリソース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リソースID・サブスクリプション/アカウント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リージョン・ゾーン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タグ（Owner, CostCenter, System, Env, DataClass等）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所有者・課金先・稼働状態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インスタンスタイプ/サイズ</w:t>
      </w:r>
    </w:p>
    <w:p>
      <w:pPr>
        <w:pStyle w:val="Heading3"/>
        <w:spacing w:after="80" w:before="180"/>
      </w:pPr>
      <w:r>
        <w:rPr>
          <w:rFonts w:ascii="Arial" w:cs="Arial" w:eastAsia="Arial" w:hAnsi="Arial"/>
          <w:b/>
          <w:bCs/>
          <w:color w:val="444444"/>
          <w:sz w:val="22"/>
          <w:szCs w:val="22"/>
        </w:rPr>
        <w:t xml:space="preserve">モバイル端末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MDM管理ID・端末ID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回線契約（キャリア・電話番号）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暗号化状態・紛失対応設定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利用者</w:t>
      </w:r>
    </w:p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第4章　更新タイミング・棚卸</w:t>
      </w:r>
    </w:p>
    <w:p>
      <w:pPr>
        <w:spacing w:after="80" w:before="200"/>
      </w:pPr>
      <w:r>
        <w:rPr>
          <w:rFonts w:ascii="Arial" w:cs="Arial" w:eastAsia="Arial" w:hAnsi="Arial"/>
          <w:b/>
          <w:bCs/>
          <w:color w:val="1F3864"/>
          <w:sz w:val="22"/>
          <w:szCs w:val="22"/>
        </w:rPr>
        <w:t xml:space="preserve">第5条</w:t>
      </w: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　更新タイミング</w:t>
      </w:r>
    </w:p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資産登録は、取得・配備・移動・返却・廃棄の各イベントで更新しなければならない。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2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自動取得（エージェント/API）を基本とし、人手更新がある場合は根拠を記録する。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3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IT資産の異動・廃棄は、ITSMの変更・構成管理プロセスと連動して台帳を更新する。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4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SoR間の差分が検知された場合は、{X}営業日以内に原因分析と是正を行う（{X：未指定}）。</w:t>
      </w:r>
    </w:p>
    <w:p>
      <w:pPr>
        <w:spacing w:after="80" w:before="200"/>
      </w:pPr>
      <w:r>
        <w:rPr>
          <w:rFonts w:ascii="Arial" w:cs="Arial" w:eastAsia="Arial" w:hAnsi="Arial"/>
          <w:b/>
          <w:bCs/>
          <w:color w:val="1F3864"/>
          <w:sz w:val="22"/>
          <w:szCs w:val="22"/>
        </w:rPr>
        <w:t xml:space="preserve">第6条</w:t>
      </w: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　棚卸</w:t>
      </w:r>
    </w:p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棚卸は、{四半期/半期/年次：未指定}に実施し、差分の原因分析・是正・再発防止を行う。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2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棚卸計画書には、対象資産範囲・実施期間・担当者・方法を明記する。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3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棚卸差分（台帳にあり現物なし、現物にあり台帳なし）は台帳差分レポートとして経営層に報告する。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4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差分が{Y}%を超えた場合、根本原因分析を実施し是正処置を策定する（{Y：未指定}）。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第5章　品質KPI・連携要件</w:t>
      </w:r>
    </w:p>
    <w:p>
      <w:pPr>
        <w:spacing w:after="80" w:before="200"/>
      </w:pPr>
      <w:r>
        <w:rPr>
          <w:rFonts w:ascii="Arial" w:cs="Arial" w:eastAsia="Arial" w:hAnsi="Arial"/>
          <w:b/>
          <w:bCs/>
          <w:color w:val="1F3864"/>
          <w:sz w:val="22"/>
          <w:szCs w:val="22"/>
        </w:rPr>
        <w:t xml:space="preserve">第7条</w:t>
      </w: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　品質KPI</w:t>
      </w:r>
    </w:p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最低限のKPIを以下とする（目標値は{未指定}）。各KPIは{四半期/半期：未指定}ごとに計測し報告する。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2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カバレッジ：管理対象に対するCMDB登録率（目標：{未指定}）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3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正規化率：型番/ソフトウェア名の正規化率（目標：{未指定}）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4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更新遅延：イベント発生から台帳反映までの時間（目標：{未指定}日以内）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5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重複率：同一資産の重複登録率（目標：{未指定}%以下）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6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棚卸差分率：棚卸実施時の差分比率（目標：{未指定}%以下）</w:t>
      </w:r>
    </w:p>
    <w:p>
      <w:pPr>
        <w:spacing w:after="80" w:before="200"/>
      </w:pPr>
      <w:r>
        <w:rPr>
          <w:rFonts w:ascii="Arial" w:cs="Arial" w:eastAsia="Arial" w:hAnsi="Arial"/>
          <w:b/>
          <w:bCs/>
          <w:color w:val="1F3864"/>
          <w:sz w:val="22"/>
          <w:szCs w:val="22"/>
        </w:rPr>
        <w:t xml:space="preserve">第8条</w:t>
      </w: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　ツール連携要件</w:t>
      </w:r>
    </w:p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CMDB/台帳は以下のシステムと連携する。詳細仕様はITAM-REQ-001「ツール連携要件定義」を参照すること。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2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ITSM：インシデント・変更・構成管理との双方向連携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3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SAMツール：ソフトウェア検知結果の自動フィードバック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4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購買システム：発注・納品情報の自動登録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5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HR（人事）システム：利用者情報・組織情報の同期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6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IAM/SSO：アカウント・認証情報との照合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7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セキュリティ（EDR/MDM）：検知データの自動連携</w:t>
      </w:r>
    </w:p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/>
      </w:r>
    </w:p>
    <w:tbl>
      <w:tblPr>
        <w:tblW w:type="dxa" w:w="907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70"/>
      </w:tblGrid>
      <w:tr>
        <w:tc>
          <w:tcPr>
            <w:tcW w:type="dxa" w:w="907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2CC" w:val="clear"/>
            <w:tcMar>
              <w:top w:type="dxa" w:w="80"/>
              <w:left w:type="dxa" w:w="180"/>
              <w:bottom w:type="dxa" w:w="80"/>
              <w:right w:type="dxa" w:w="18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7F6000"/>
                <w:sz w:val="20"/>
                <w:szCs w:val="20"/>
              </w:rPr>
              <w:t xml:space="preserve">【注記】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7F6000"/>
                <w:sz w:val="20"/>
                <w:szCs w:val="20"/>
              </w:rPr>
              <w:t xml:space="preserve">本基準はISO/IEC 19770-1（ITAMS要求事項）、ISO/IEC 19770-2（SWIDタグ）、ISO/IEC 19770-6（HWIDタグ）、NIST SP 800-53 CM-8（構成管理）に基づき設計されている。</w:t>
            </w:r>
          </w:p>
        </w:tc>
      </w:tr>
    </w:tbl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/>
      </w:r>
    </w:p>
    <w:p>
      <w:r>
        <w:br w:type="page"/>
      </w:r>
    </w:p>
    <w:p>
      <w:pPr>
        <w:pStyle w:val="Heading1"/>
        <w:spacing w:after="180" w:before="360"/>
      </w:pPr>
      <w:r>
        <w:rPr>
          <w:rFonts w:ascii="Arial" w:cs="Arial" w:eastAsia="Arial" w:hAnsi="Arial"/>
          <w:b/>
          <w:bCs/>
          <w:color w:val="1F3864"/>
          <w:sz w:val="28"/>
          <w:szCs w:val="28"/>
        </w:rPr>
        <w:t xml:space="preserve">改定履歴</w:t>
      </w:r>
    </w:p>
    <w:tbl>
      <w:tblPr>
        <w:tblW w:type="dxa" w:w="907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7"/>
        <w:gridCol w:w="1814"/>
        <w:gridCol w:w="4535"/>
        <w:gridCol w:w="1814"/>
      </w:tblGrid>
      <w:tr>
        <w:tc>
          <w:tcPr>
            <w:tcW w:type="dxa" w:w="907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版数</w:t>
            </w:r>
          </w:p>
        </w:tc>
        <w:tc>
          <w:tcPr>
            <w:tcW w:type="dxa" w:w="1814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施行日</w:t>
            </w:r>
          </w:p>
        </w:tc>
        <w:tc>
          <w:tcPr>
            <w:tcW w:type="dxa" w:w="4535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改定内容</w:t>
            </w:r>
          </w:p>
        </w:tc>
        <w:tc>
          <w:tcPr>
            <w:tcW w:type="dxa" w:w="1814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承認者</w:t>
            </w:r>
          </w:p>
        </w:tc>
      </w:tr>
      <w:tr>
        <w:tc>
          <w:tcPr>
            <w:tcW w:type="dxa" w:w="907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v1.0</w:t>
            </w:r>
          </w:p>
        </w:tc>
        <w:tc>
          <w:tcPr>
            <w:tcW w:type="dxa" w:w="1814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YYYY-MM-DD</w:t>
            </w:r>
          </w:p>
        </w:tc>
        <w:tc>
          <w:tcPr>
            <w:tcW w:type="dxa" w:w="4535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（改定内容を記載）</w:t>
            </w:r>
          </w:p>
        </w:tc>
        <w:tc>
          <w:tcPr>
            <w:tcW w:type="dxa" w:w="1814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（承認者）</w:t>
            </w:r>
          </w:p>
        </w:tc>
      </w:tr>
      <w:tr>
        <w:tc>
          <w:tcPr>
            <w:tcW w:type="dxa" w:w="907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v1.1</w:t>
            </w:r>
          </w:p>
        </w:tc>
        <w:tc>
          <w:tcPr>
            <w:tcW w:type="dxa" w:w="1814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YYYY-MM-DD</w:t>
            </w:r>
          </w:p>
        </w:tc>
        <w:tc>
          <w:tcPr>
            <w:tcW w:type="dxa" w:w="4535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（改定内容を記載）</w:t>
            </w:r>
          </w:p>
        </w:tc>
        <w:tc>
          <w:tcPr>
            <w:tcW w:type="dxa" w:w="1814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（承認者）</w:t>
            </w:r>
          </w:p>
        </w:tc>
      </w:tr>
      <w:tr>
        <w:tc>
          <w:tcPr>
            <w:tcW w:type="dxa" w:w="907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v2.0</w:t>
            </w:r>
          </w:p>
        </w:tc>
        <w:tc>
          <w:tcPr>
            <w:tcW w:type="dxa" w:w="1814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YYYY-MM-DD</w:t>
            </w:r>
          </w:p>
        </w:tc>
        <w:tc>
          <w:tcPr>
            <w:tcW w:type="dxa" w:w="4535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（改定内容を記載）</w:t>
            </w:r>
          </w:p>
        </w:tc>
        <w:tc>
          <w:tcPr>
            <w:tcW w:type="dxa" w:w="1814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（承認者）</w:t>
            </w:r>
          </w:p>
        </w:tc>
      </w:tr>
    </w:tbl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/>
      </w:r>
    </w:p>
    <w:sectPr>
      <w:headerReference w:type="default" r:id="rId7"/>
      <w:footerReference w:type="default" r:id="rId8"/>
      <w:pgSz w:w="11906" w:h="16838" w:orient="portrait"/>
      <w:pgMar w:top="1418" w:right="1418" w:bottom="1418" w:left="1418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CCCCC" w:sz="4" w:space="4"/>
      </w:pBdr>
      <w:spacing w:before="80"/>
      <w:jc w:val="center"/>
    </w:pPr>
    <w:r>
      <w:rPr>
        <w:rFonts w:ascii="Arial" w:cs="Arial" w:eastAsia="Arial" w:hAnsi="Arial"/>
        <w:color w:val="888888"/>
        <w:sz w:val="18"/>
        <w:szCs w:val="18"/>
      </w:rPr>
      <w:t xml:space="preserve">ITAM-STD-001  |  Copyright 2026 ITAMS K.K.  |  </w:t>
    </w:r>
    <w:r>
      <w:rPr>
        <w:rFonts w:ascii="Arial" w:cs="Arial" w:eastAsia="Arial" w:hAnsi="Arial"/>
        <w:color w:val="888888"/>
        <w:sz w:val="18"/>
        <w:szCs w:val="18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888888"/>
        <w:sz w:val="18"/>
        <w:szCs w:val="18"/>
      </w:rPr>
      <w:t xml:space="preserve"> / </w:t>
    </w:r>
    <w:r>
      <w:rPr>
        <w:rFonts w:ascii="Arial" w:cs="Arial" w:eastAsia="Arial" w:hAnsi="Arial"/>
        <w:color w:val="888888"/>
        <w:sz w:val="18"/>
        <w:szCs w:val="18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2E75B6" w:sz="6" w:space="4"/>
      </w:pBdr>
      <w:tabs>
        <w:tab w:val="right" w:pos="9070"/>
      </w:tabs>
      <w:spacing w:after="80"/>
    </w:pPr>
    <w:r>
      <w:rPr>
        <w:rFonts w:ascii="Arial" w:cs="Arial" w:eastAsia="Arial" w:hAnsi="Arial"/>
        <w:color w:val="1F3864"/>
        <w:sz w:val="18"/>
        <w:szCs w:val="18"/>
      </w:rPr>
      <w:t xml:space="preserve">IT資産管理基準（台帳・CMDB）</w:t>
    </w:r>
    <w:r>
      <w:rPr>
        <w:rFonts w:ascii="Arial" w:cs="Arial" w:eastAsia="Arial" w:hAnsi="Arial"/>
      </w:rPr>
      <w:t xml:space="preserve">	</w:t>
    </w:r>
    <w:r>
      <w:rPr>
        <w:rFonts w:ascii="Arial" w:cs="Arial" w:eastAsia="Arial" w:hAnsi="Arial"/>
        <w:color w:val="888888"/>
        <w:sz w:val="18"/>
        <w:szCs w:val="18"/>
      </w:rPr>
      <w:t xml:space="preserve">ITAM-STD-001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bullet"/>
      <w:lvlText w:val="－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80" w:before="360"/>
      <w:outlineLvl w:val="0"/>
    </w:pPr>
    <w:rPr>
      <w:rFonts w:ascii="Arial" w:cs="Arial" w:eastAsia="Arial" w:hAnsi="Arial"/>
      <w:b/>
      <w:bCs/>
      <w:color w:val="1F3864"/>
      <w:sz w:val="28"/>
      <w:szCs w:val="28"/>
    </w:rPr>
  </w:style>
  <w:style w:type="paragraph" w:styleId="Heading2">
    <w:name w:val="Heading 2"/>
    <w:basedOn w:val="Normal"/>
    <w:next w:val="Normal"/>
    <w:qFormat/>
    <w:pPr>
      <w:spacing w:after="120" w:before="240"/>
      <w:outlineLvl w:val="1"/>
    </w:pPr>
    <w:rPr>
      <w:rFonts w:ascii="Arial" w:cs="Arial" w:eastAsia="Arial" w:hAnsi="Arial"/>
      <w:b/>
      <w:bCs/>
      <w:color w:val="2E75B6"/>
      <w:sz w:val="24"/>
      <w:szCs w:val="24"/>
    </w:rPr>
  </w:style>
  <w:style w:type="paragraph" w:styleId="Heading3">
    <w:name w:val="Heading 3"/>
    <w:basedOn w:val="Normal"/>
    <w:next w:val="Normal"/>
    <w:qFormat/>
    <w:pPr>
      <w:spacing w:after="80" w:before="180"/>
      <w:outlineLvl w:val="2"/>
    </w:pPr>
    <w:rPr>
      <w:rFonts w:ascii="Arial" w:cs="Arial" w:eastAsia="Arial" w:hAnsi="Arial"/>
      <w:b/>
      <w:bCs/>
      <w:color w:val="444444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2026-04-22T09:51:34.205Z</dcterms:created>
  <dcterms:modified xsi:type="dcterms:W3CDTF">2026-04-22T09:51:34.205Z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