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720" w:before="60" w:line="320"/>
        <w:jc w:val="left"/>
      </w:pPr>
      <w:r>
        <w:rPr>
          <w:rFonts w:ascii="Arial" w:cs="Arial" w:eastAsia="Arial" w:hAnsi="Arial"/>
          <w:b w:val="false"/>
          <w:bCs w:val="false"/>
          <w:i w:val="false"/>
          <w:iCs w:val="false"/>
          <w:color w:val="000000"/>
          <w:sz w:val="22"/>
          <w:szCs w:val="22"/>
        </w:rPr>
        <w:t xml:space="preserve"/>
      </w:r>
    </w:p>
    <w:p>
      <w:pPr>
        <w:jc w:val="center"/>
      </w:pPr>
      <w:r>
        <w:rPr>
          <w:rFonts w:ascii="Arial" w:cs="Arial" w:eastAsia="Arial" w:hAnsi="Arial"/>
          <w:b w:val="false"/>
          <w:bCs w:val="false"/>
          <w:i w:val="false"/>
          <w:iCs w:val="false"/>
          <w:color w:val="888888"/>
          <w:sz w:val="20"/>
          <w:szCs w:val="20"/>
        </w:rPr>
        <w:t xml:space="preserve">ITAMS K.K.  |  ITAM/SAM Policy Document</w:t>
      </w:r>
    </w:p>
    <w:p>
      <w:pPr>
        <w:spacing w:after="240" w:before="60" w:line="320"/>
        <w:jc w:val="left"/>
      </w:pPr>
      <w:r>
        <w:rPr>
          <w:rFonts w:ascii="Arial" w:cs="Arial" w:eastAsia="Arial" w:hAnsi="Arial"/>
          <w:b w:val="false"/>
          <w:bCs w:val="false"/>
          <w:i w:val="false"/>
          <w:iCs w:val="false"/>
          <w:color w:val="000000"/>
          <w:sz w:val="22"/>
          <w:szCs w:val="22"/>
        </w:rPr>
        <w:t xml:space="preserve"/>
      </w:r>
    </w:p>
    <w:p>
      <w:pPr>
        <w:pBdr>
          <w:top w:val="single" w:color="2E75B6" w:sz="0"/>
          <w:bottom w:val="single" w:color="2E75B6" w:sz="0"/>
        </w:pBdr>
        <w:shd w:fill="2E75B6" w:val="clear"/>
        <w:jc w:val="center"/>
      </w:pPr>
      <w:r>
        <w:rPr>
          <w:rFonts w:ascii="Arial" w:cs="Arial" w:eastAsia="Arial" w:hAnsi="Arial"/>
          <w:b/>
          <w:bCs/>
          <w:i w:val="false"/>
          <w:iCs w:val="false"/>
          <w:color w:val="FFFFFF"/>
          <w:sz w:val="20"/>
          <w:szCs w:val="20"/>
        </w:rPr>
        <w:t xml:space="preserve">基準（SW資産管理）</w:t>
      </w:r>
    </w:p>
    <w:p>
      <w:pPr>
        <w:spacing w:after="120" w:before="60" w:line="320"/>
        <w:jc w:val="left"/>
      </w:pPr>
      <w:r>
        <w:rPr>
          <w:rFonts w:ascii="Arial" w:cs="Arial" w:eastAsia="Arial" w:hAnsi="Arial"/>
          <w:b w:val="false"/>
          <w:bCs w:val="false"/>
          <w:i w:val="false"/>
          <w:iCs w:val="false"/>
          <w:color w:val="000000"/>
          <w:sz w:val="22"/>
          <w:szCs w:val="22"/>
        </w:rPr>
        <w:t xml:space="preserve"/>
      </w:r>
    </w:p>
    <w:p>
      <w:pPr>
        <w:spacing w:after="120" w:before="240"/>
        <w:jc w:val="center"/>
      </w:pPr>
      <w:r>
        <w:rPr>
          <w:rFonts w:ascii="Arial" w:cs="Arial" w:eastAsia="Arial" w:hAnsi="Arial"/>
          <w:b/>
          <w:bCs/>
          <w:i w:val="false"/>
          <w:iCs w:val="false"/>
          <w:color w:val="1F3864"/>
          <w:sz w:val="36"/>
          <w:szCs w:val="36"/>
        </w:rPr>
        <w:t xml:space="preserve">ソフトウェア資産管理基準（ライセンス／OSS含む）</w:t>
      </w:r>
    </w:p>
    <w:p>
      <w:pPr>
        <w:spacing w:after="360" w:before="0"/>
        <w:jc w:val="center"/>
      </w:pPr>
      <w:r>
        <w:rPr>
          <w:rFonts w:ascii="Arial" w:cs="Arial" w:eastAsia="Arial" w:hAnsi="Arial"/>
          <w:b w:val="false"/>
          <w:bCs w:val="false"/>
          <w:i w:val="false"/>
          <w:iCs w:val="false"/>
          <w:color w:val="888888"/>
          <w:sz w:val="22"/>
          <w:szCs w:val="22"/>
        </w:rPr>
        <w:t xml:space="preserve">ITAM-STD-002</w:t>
      </w:r>
    </w:p>
    <w:p>
      <w:pPr>
        <w:spacing w:after="480" w:before="0"/>
        <w:jc w:val="center"/>
      </w:pPr>
      <w:r>
        <w:rPr>
          <w:rFonts w:ascii="Arial" w:cs="Arial" w:eastAsia="Arial" w:hAnsi="Arial"/>
          <w:b w:val="false"/>
          <w:bCs w:val="false"/>
          <w:i w:val="false"/>
          <w:iCs w:val="false"/>
          <w:color w:val="000000"/>
          <w:sz w:val="20"/>
          <w:szCs w:val="20"/>
        </w:rPr>
        <w:t xml:space="preserve">ソフトウェア識別・権利管理・利用量・OSS遵守を統合</w:t>
      </w: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1179"/>
        <w:gridCol w:w="3355"/>
        <w:gridCol w:w="1179"/>
        <w:gridCol w:w="3355"/>
      </w:tblGrid>
      <w:tr>
        <w:tc>
          <w:tcPr>
            <w:tcW w:type="dxa" w:w="1179"/>
            <w:tcBorders>
              <w:top w:val="single" w:color="AAAAAA" w:sz="4"/>
              <w:left w:val="single" w:color="AAAAAA" w:sz="4"/>
              <w:bottom w:val="single" w:color="AAAAAA" w:sz="4"/>
              <w:right w:val="single" w:color="AAAAAA" w:sz="4"/>
            </w:tcBorders>
            <w:shd w:fill="1F3864" w:val="clear"/>
            <w:tcMar>
              <w:top w:type="dxa" w:w="80"/>
              <w:left w:type="dxa" w:w="120"/>
              <w:bottom w:type="dxa" w:w="80"/>
              <w:right w:type="dxa" w:w="120"/>
            </w:tcMar>
          </w:tcPr>
          <w:p>
            <w:pPr>
              <w:spacing w:after="60" w:before="60" w:line="320"/>
              <w:jc w:val="left"/>
            </w:pPr>
            <w:r>
              <w:rPr>
                <w:rFonts w:ascii="Arial" w:cs="Arial" w:eastAsia="Arial" w:hAnsi="Arial"/>
                <w:b/>
                <w:bCs/>
                <w:i w:val="false"/>
                <w:iCs w:val="false"/>
                <w:color w:val="FFFFFF"/>
                <w:sz w:val="20"/>
                <w:szCs w:val="20"/>
              </w:rPr>
              <w:t xml:space="preserve">文書 ID</w:t>
            </w:r>
          </w:p>
        </w:tc>
        <w:tc>
          <w:tcPr>
            <w:tcW w:type="dxa" w:w="3355"/>
            <w:tcBorders>
              <w:top w:val="single" w:color="AAAAAA" w:sz="4"/>
              <w:left w:val="single" w:color="AAAAAA" w:sz="4"/>
              <w:bottom w:val="single" w:color="AAAAAA" w:sz="4"/>
              <w:right w:val="single" w:color="AAAAAA"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ITAM-STD-002</w:t>
            </w:r>
          </w:p>
        </w:tc>
        <w:tc>
          <w:tcPr>
            <w:tcW w:type="dxa" w:w="1179"/>
            <w:tcBorders>
              <w:top w:val="single" w:color="AAAAAA" w:sz="4"/>
              <w:left w:val="single" w:color="AAAAAA" w:sz="4"/>
              <w:bottom w:val="single" w:color="AAAAAA" w:sz="4"/>
              <w:right w:val="single" w:color="AAAAAA" w:sz="4"/>
            </w:tcBorders>
            <w:shd w:fill="1F3864" w:val="clear"/>
            <w:tcMar>
              <w:top w:type="dxa" w:w="80"/>
              <w:left w:type="dxa" w:w="120"/>
              <w:bottom w:type="dxa" w:w="80"/>
              <w:right w:type="dxa" w:w="120"/>
            </w:tcMar>
          </w:tcPr>
          <w:p>
            <w:pPr>
              <w:spacing w:after="60" w:before="60" w:line="320"/>
              <w:jc w:val="left"/>
            </w:pPr>
            <w:r>
              <w:rPr>
                <w:rFonts w:ascii="Arial" w:cs="Arial" w:eastAsia="Arial" w:hAnsi="Arial"/>
                <w:b/>
                <w:bCs/>
                <w:i w:val="false"/>
                <w:iCs w:val="false"/>
                <w:color w:val="FFFFFF"/>
                <w:sz w:val="20"/>
                <w:szCs w:val="20"/>
              </w:rPr>
              <w:t xml:space="preserve">版数</w:t>
            </w:r>
          </w:p>
        </w:tc>
        <w:tc>
          <w:tcPr>
            <w:tcW w:type="dxa" w:w="3355"/>
            <w:tcBorders>
              <w:top w:val="single" w:color="AAAAAA" w:sz="4"/>
              <w:left w:val="single" w:color="AAAAAA" w:sz="4"/>
              <w:bottom w:val="single" w:color="AAAAAA" w:sz="4"/>
              <w:right w:val="single" w:color="AAAAAA"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v1.0（初版）</w:t>
            </w:r>
          </w:p>
        </w:tc>
      </w:tr>
      <w:tr>
        <w:tc>
          <w:tcPr>
            <w:tcW w:type="dxa" w:w="1179"/>
            <w:tcBorders>
              <w:top w:val="single" w:color="AAAAAA" w:sz="4"/>
              <w:left w:val="single" w:color="AAAAAA" w:sz="4"/>
              <w:bottom w:val="single" w:color="AAAAAA" w:sz="4"/>
              <w:right w:val="single" w:color="AAAAAA" w:sz="4"/>
            </w:tcBorders>
            <w:shd w:fill="1F3864" w:val="clear"/>
            <w:tcMar>
              <w:top w:type="dxa" w:w="80"/>
              <w:left w:type="dxa" w:w="120"/>
              <w:bottom w:type="dxa" w:w="80"/>
              <w:right w:type="dxa" w:w="120"/>
            </w:tcMar>
          </w:tcPr>
          <w:p>
            <w:pPr>
              <w:spacing w:after="60" w:before="60" w:line="320"/>
              <w:jc w:val="left"/>
            </w:pPr>
            <w:r>
              <w:rPr>
                <w:rFonts w:ascii="Arial" w:cs="Arial" w:eastAsia="Arial" w:hAnsi="Arial"/>
                <w:b/>
                <w:bCs/>
                <w:i w:val="false"/>
                <w:iCs w:val="false"/>
                <w:color w:val="FFFFFF"/>
                <w:sz w:val="20"/>
                <w:szCs w:val="20"/>
              </w:rPr>
              <w:t xml:space="preserve">施行日</w:t>
            </w:r>
          </w:p>
        </w:tc>
        <w:tc>
          <w:tcPr>
            <w:tcW w:type="dxa" w:w="3355"/>
            <w:tcBorders>
              <w:top w:val="single" w:color="AAAAAA" w:sz="4"/>
              <w:left w:val="single" w:color="AAAAAA" w:sz="4"/>
              <w:bottom w:val="single" w:color="AAAAAA" w:sz="4"/>
              <w:right w:val="single" w:color="AAAAAA"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{YYYY-MM-DD（未指定）}</w:t>
            </w:r>
          </w:p>
        </w:tc>
        <w:tc>
          <w:tcPr>
            <w:tcW w:type="dxa" w:w="1179"/>
            <w:tcBorders>
              <w:top w:val="single" w:color="AAAAAA" w:sz="4"/>
              <w:left w:val="single" w:color="AAAAAA" w:sz="4"/>
              <w:bottom w:val="single" w:color="AAAAAA" w:sz="4"/>
              <w:right w:val="single" w:color="AAAAAA" w:sz="4"/>
            </w:tcBorders>
            <w:shd w:fill="1F3864" w:val="clear"/>
            <w:tcMar>
              <w:top w:type="dxa" w:w="80"/>
              <w:left w:type="dxa" w:w="120"/>
              <w:bottom w:type="dxa" w:w="80"/>
              <w:right w:type="dxa" w:w="120"/>
            </w:tcMar>
          </w:tcPr>
          <w:p>
            <w:pPr>
              <w:spacing w:after="60" w:before="60" w:line="320"/>
              <w:jc w:val="left"/>
            </w:pPr>
            <w:r>
              <w:rPr>
                <w:rFonts w:ascii="Arial" w:cs="Arial" w:eastAsia="Arial" w:hAnsi="Arial"/>
                <w:b/>
                <w:bCs/>
                <w:i w:val="false"/>
                <w:iCs w:val="false"/>
                <w:color w:val="FFFFFF"/>
                <w:sz w:val="20"/>
                <w:szCs w:val="20"/>
              </w:rPr>
              <w:t xml:space="preserve">改定日</w:t>
            </w:r>
          </w:p>
        </w:tc>
        <w:tc>
          <w:tcPr>
            <w:tcW w:type="dxa" w:w="3355"/>
            <w:tcBorders>
              <w:top w:val="single" w:color="AAAAAA" w:sz="4"/>
              <w:left w:val="single" w:color="AAAAAA" w:sz="4"/>
              <w:bottom w:val="single" w:color="AAAAAA" w:sz="4"/>
              <w:right w:val="single" w:color="AAAAAA"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{YYYY-MM-DD（未指定）}</w:t>
            </w:r>
          </w:p>
        </w:tc>
      </w:tr>
      <w:tr>
        <w:tc>
          <w:tcPr>
            <w:tcW w:type="dxa" w:w="1179"/>
            <w:tcBorders>
              <w:top w:val="single" w:color="AAAAAA" w:sz="4"/>
              <w:left w:val="single" w:color="AAAAAA" w:sz="4"/>
              <w:bottom w:val="single" w:color="AAAAAA" w:sz="4"/>
              <w:right w:val="single" w:color="AAAAAA" w:sz="4"/>
            </w:tcBorders>
            <w:shd w:fill="1F3864" w:val="clear"/>
            <w:tcMar>
              <w:top w:type="dxa" w:w="80"/>
              <w:left w:type="dxa" w:w="120"/>
              <w:bottom w:type="dxa" w:w="80"/>
              <w:right w:type="dxa" w:w="120"/>
            </w:tcMar>
          </w:tcPr>
          <w:p>
            <w:pPr>
              <w:spacing w:after="60" w:before="60" w:line="320"/>
              <w:jc w:val="left"/>
            </w:pPr>
            <w:r>
              <w:rPr>
                <w:rFonts w:ascii="Arial" w:cs="Arial" w:eastAsia="Arial" w:hAnsi="Arial"/>
                <w:b/>
                <w:bCs/>
                <w:i w:val="false"/>
                <w:iCs w:val="false"/>
                <w:color w:val="FFFFFF"/>
                <w:sz w:val="20"/>
                <w:szCs w:val="20"/>
              </w:rPr>
              <w:t xml:space="preserve">所管部門</w:t>
            </w:r>
          </w:p>
        </w:tc>
        <w:tc>
          <w:tcPr>
            <w:tcW w:type="dxa" w:w="3355"/>
            <w:tcBorders>
              <w:top w:val="single" w:color="AAAAAA" w:sz="4"/>
              <w:left w:val="single" w:color="AAAAAA" w:sz="4"/>
              <w:bottom w:val="single" w:color="AAAAAA" w:sz="4"/>
              <w:right w:val="single" w:color="AAAAAA"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{ITAM/SAM部門（未指定）}</w:t>
            </w:r>
          </w:p>
        </w:tc>
        <w:tc>
          <w:tcPr>
            <w:tcW w:type="dxa" w:w="1179"/>
            <w:tcBorders>
              <w:top w:val="single" w:color="AAAAAA" w:sz="4"/>
              <w:left w:val="single" w:color="AAAAAA" w:sz="4"/>
              <w:bottom w:val="single" w:color="AAAAAA" w:sz="4"/>
              <w:right w:val="single" w:color="AAAAAA" w:sz="4"/>
            </w:tcBorders>
            <w:shd w:fill="1F3864" w:val="clear"/>
            <w:tcMar>
              <w:top w:type="dxa" w:w="80"/>
              <w:left w:type="dxa" w:w="120"/>
              <w:bottom w:type="dxa" w:w="80"/>
              <w:right w:type="dxa" w:w="120"/>
            </w:tcMar>
          </w:tcPr>
          <w:p>
            <w:pPr>
              <w:spacing w:after="60" w:before="60" w:line="320"/>
              <w:jc w:val="left"/>
            </w:pPr>
            <w:r>
              <w:rPr>
                <w:rFonts w:ascii="Arial" w:cs="Arial" w:eastAsia="Arial" w:hAnsi="Arial"/>
                <w:b/>
                <w:bCs/>
                <w:i w:val="false"/>
                <w:iCs w:val="false"/>
                <w:color w:val="FFFFFF"/>
                <w:sz w:val="20"/>
                <w:szCs w:val="20"/>
              </w:rPr>
              <w:t xml:space="preserve">承認者</w:t>
            </w:r>
          </w:p>
        </w:tc>
        <w:tc>
          <w:tcPr>
            <w:tcW w:type="dxa" w:w="3355"/>
            <w:tcBorders>
              <w:top w:val="single" w:color="AAAAAA" w:sz="4"/>
              <w:left w:val="single" w:color="AAAAAA" w:sz="4"/>
              <w:bottom w:val="single" w:color="AAAAAA" w:sz="4"/>
              <w:right w:val="single" w:color="AAAAAA"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ITAM/SAM責任者（未指定）</w:t>
            </w:r>
          </w:p>
        </w:tc>
      </w:tr>
      <w:tr>
        <w:tc>
          <w:tcPr>
            <w:tcW w:type="dxa" w:w="1179"/>
            <w:tcBorders>
              <w:top w:val="single" w:color="AAAAAA" w:sz="4"/>
              <w:left w:val="single" w:color="AAAAAA" w:sz="4"/>
              <w:bottom w:val="single" w:color="AAAAAA" w:sz="4"/>
              <w:right w:val="single" w:color="AAAAAA" w:sz="4"/>
            </w:tcBorders>
            <w:shd w:fill="1F3864" w:val="clear"/>
            <w:tcMar>
              <w:top w:type="dxa" w:w="80"/>
              <w:left w:type="dxa" w:w="120"/>
              <w:bottom w:type="dxa" w:w="80"/>
              <w:right w:type="dxa" w:w="120"/>
            </w:tcMar>
          </w:tcPr>
          <w:p>
            <w:pPr>
              <w:spacing w:after="60" w:before="60" w:line="320"/>
              <w:jc w:val="left"/>
            </w:pPr>
            <w:r>
              <w:rPr>
                <w:rFonts w:ascii="Arial" w:cs="Arial" w:eastAsia="Arial" w:hAnsi="Arial"/>
                <w:b/>
                <w:bCs/>
                <w:i w:val="false"/>
                <w:iCs w:val="false"/>
                <w:color w:val="FFFFFF"/>
                <w:sz w:val="20"/>
                <w:szCs w:val="20"/>
              </w:rPr>
              <w:t xml:space="preserve">上位規程</w:t>
            </w:r>
          </w:p>
        </w:tc>
        <w:tc>
          <w:tcPr>
            <w:tcW w:type="dxa" w:w="3355"/>
            <w:tcBorders>
              <w:top w:val="single" w:color="AAAAAA" w:sz="4"/>
              <w:left w:val="single" w:color="AAAAAA" w:sz="4"/>
              <w:bottom w:val="single" w:color="AAAAAA" w:sz="4"/>
              <w:right w:val="single" w:color="AAAAAA"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ITAM-POL-001 ITAM/SAM統合基本規程</w:t>
            </w:r>
          </w:p>
        </w:tc>
        <w:tc>
          <w:tcPr>
            <w:tcW w:type="dxa" w:w="1179"/>
            <w:tcBorders>
              <w:top w:val="single" w:color="AAAAAA" w:sz="4"/>
              <w:left w:val="single" w:color="AAAAAA" w:sz="4"/>
              <w:bottom w:val="single" w:color="AAAAAA" w:sz="4"/>
              <w:right w:val="single" w:color="AAAAAA" w:sz="4"/>
            </w:tcBorders>
            <w:shd w:fill="1F3864" w:val="clear"/>
            <w:tcMar>
              <w:top w:type="dxa" w:w="80"/>
              <w:left w:type="dxa" w:w="120"/>
              <w:bottom w:type="dxa" w:w="80"/>
              <w:right w:type="dxa" w:w="120"/>
            </w:tcMar>
          </w:tcPr>
          <w:p>
            <w:pPr>
              <w:spacing w:after="60" w:before="60" w:line="320"/>
              <w:jc w:val="left"/>
            </w:pPr>
            <w:r>
              <w:rPr>
                <w:rFonts w:ascii="Arial" w:cs="Arial" w:eastAsia="Arial" w:hAnsi="Arial"/>
                <w:b/>
                <w:bCs/>
                <w:i w:val="false"/>
                <w:iCs w:val="false"/>
                <w:color w:val="FFFFFF"/>
                <w:sz w:val="20"/>
                <w:szCs w:val="20"/>
              </w:rPr>
              <w:t xml:space="preserve">階層</w:t>
            </w:r>
          </w:p>
        </w:tc>
        <w:tc>
          <w:tcPr>
            <w:tcW w:type="dxa" w:w="3355"/>
            <w:tcBorders>
              <w:top w:val="single" w:color="AAAAAA" w:sz="4"/>
              <w:left w:val="single" w:color="AAAAAA" w:sz="4"/>
              <w:bottom w:val="single" w:color="AAAAAA" w:sz="4"/>
              <w:right w:val="single" w:color="AAAAAA"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基準（SW資産管理）</w:t>
            </w:r>
          </w:p>
        </w:tc>
      </w:tr>
    </w:tbl>
    <w:p>
      <w:pPr>
        <w:spacing w:after="120" w:before="60" w:line="320"/>
        <w:jc w:val="left"/>
      </w:pPr>
      <w:r>
        <w:rPr>
          <w:rFonts w:ascii="Arial" w:cs="Arial" w:eastAsia="Arial" w:hAnsi="Arial"/>
          <w:b w:val="false"/>
          <w:bCs w:val="false"/>
          <w:i w:val="false"/>
          <w:iCs w:val="false"/>
          <w:color w:val="000000"/>
          <w:sz w:val="22"/>
          <w:szCs w:val="22"/>
        </w:rPr>
        <w:t xml:space="preserve"/>
      </w:r>
    </w:p>
    <w:p>
      <w:pPr>
        <w:spacing w:after="0" w:before="0"/>
      </w:pPr>
      <w:r>
        <w:rPr>
          <w:rFonts w:ascii="Arial" w:cs="Arial" w:eastAsia="Arial" w:hAnsi="Arial"/>
          <w:b w:val="false"/>
          <w:bCs w:val="false"/>
          <w:i/>
          <w:iCs/>
          <w:color w:val="888888"/>
          <w:sz w:val="18"/>
          <w:szCs w:val="18"/>
        </w:rPr>
        <w:t xml:space="preserve">注意：本文書は大手企業向けITAM/SAMポリシーテンプレートです。{未指定}と記載された箇所は、導入時に組織の実情に合わせて確定してください。</w:t>
      </w:r>
    </w:p>
    <w:p>
      <w:r>
        <w:br w:type="page"/>
      </w:r>
    </w:p>
    <w:p>
      <w:pPr>
        <w:pStyle w:val="Heading1"/>
        <w:spacing w:after="180" w:before="360"/>
      </w:pPr>
      <w:r>
        <w:rPr>
          <w:rFonts w:ascii="Arial" w:cs="Arial" w:eastAsia="Arial" w:hAnsi="Arial"/>
          <w:b/>
          <w:bCs/>
          <w:color w:val="1F3864"/>
          <w:sz w:val="28"/>
          <w:szCs w:val="28"/>
        </w:rPr>
        <w:t xml:space="preserve">目次</w:t>
      </w:r>
    </w:p>
    <w:sdt>
      <w:sdtPr>
        <w:alias w:val="目次"/>
      </w:sdtPr>
      <w:sdtContent>
        <w:p>
          <w:r>
            <w:fldChar w:fldCharType="begin" w:dirty="true"/>
            <w:instrText xml:space="preserve">TOC \h \o "1-3"</w:instrText>
            <w:fldChar w:fldCharType="separate"/>
          </w:r>
        </w:p>
        <w:p>
          <w:r>
            <w:fldChar w:fldCharType="end"/>
          </w:r>
        </w:p>
      </w:sdtContent>
    </w:sdt>
    <w:p>
      <w:r>
        <w:br w:type="page"/>
      </w:r>
    </w:p>
    <w:p>
      <w:pPr>
        <w:pStyle w:val="Heading1"/>
        <w:spacing w:after="180" w:before="360"/>
      </w:pPr>
      <w:r>
        <w:rPr>
          <w:rFonts w:ascii="Arial" w:cs="Arial" w:eastAsia="Arial" w:hAnsi="Arial"/>
          <w:b/>
          <w:bCs/>
          <w:color w:val="1F3864"/>
          <w:sz w:val="28"/>
          <w:szCs w:val="28"/>
        </w:rPr>
        <w:t xml:space="preserve">本文</w:t>
      </w:r>
    </w:p>
    <w:p>
      <w:pPr>
        <w:pStyle w:val="Heading2"/>
        <w:spacing w:after="120" w:before="240"/>
      </w:pPr>
      <w:r>
        <w:rPr>
          <w:rFonts w:ascii="Arial" w:cs="Arial" w:eastAsia="Arial" w:hAnsi="Arial"/>
          <w:b/>
          <w:bCs/>
          <w:color w:val="2E75B6"/>
          <w:sz w:val="24"/>
          <w:szCs w:val="24"/>
        </w:rPr>
        <w:t xml:space="preserve">第1章　目的・適用範囲</w:t>
      </w:r>
    </w:p>
    <w:p>
      <w:pPr>
        <w:spacing w:after="80" w:before="200"/>
      </w:pPr>
      <w:r>
        <w:rPr>
          <w:rFonts w:ascii="Arial" w:cs="Arial" w:eastAsia="Arial" w:hAnsi="Arial"/>
          <w:b/>
          <w:bCs/>
          <w:color w:val="1F3864"/>
          <w:sz w:val="22"/>
          <w:szCs w:val="22"/>
        </w:rPr>
        <w:t xml:space="preserve">第1条</w:t>
      </w:r>
      <w:r>
        <w:rPr>
          <w:rFonts w:ascii="Arial" w:cs="Arial" w:eastAsia="Arial" w:hAnsi="Arial"/>
          <w:b/>
          <w:bCs/>
          <w:color w:val="000000"/>
          <w:sz w:val="22"/>
          <w:szCs w:val="22"/>
        </w:rPr>
        <w:t xml:space="preserve">　目的</w:t>
      </w:r>
    </w:p>
    <w:p>
      <w:pPr>
        <w:spacing w:after="60" w:before="60" w:line="320"/>
        <w:jc w:val="left"/>
      </w:pPr>
      <w:r>
        <w:rPr>
          <w:rFonts w:ascii="Arial" w:cs="Arial" w:eastAsia="Arial" w:hAnsi="Arial"/>
          <w:b w:val="false"/>
          <w:bCs w:val="false"/>
          <w:i w:val="false"/>
          <w:iCs w:val="false"/>
          <w:color w:val="000000"/>
          <w:sz w:val="22"/>
          <w:szCs w:val="22"/>
        </w:rPr>
        <w:t xml:space="preserve">本基準は、ソフトウェア識別、インストール統制、ライセンス遵守、OSS遵守、利用量測定および再割当を定め、ソフトウェアライセンスコンプライアンスとコスト最適化を確保することを目的とする。</w:t>
      </w:r>
    </w:p>
    <w:p>
      <w:pPr>
        <w:spacing w:after="80" w:before="200"/>
      </w:pPr>
      <w:r>
        <w:rPr>
          <w:rFonts w:ascii="Arial" w:cs="Arial" w:eastAsia="Arial" w:hAnsi="Arial"/>
          <w:b/>
          <w:bCs/>
          <w:color w:val="1F3864"/>
          <w:sz w:val="22"/>
          <w:szCs w:val="22"/>
        </w:rPr>
        <w:t xml:space="preserve">第2条</w:t>
      </w:r>
      <w:r>
        <w:rPr>
          <w:rFonts w:ascii="Arial" w:cs="Arial" w:eastAsia="Arial" w:hAnsi="Arial"/>
          <w:b/>
          <w:bCs/>
          <w:color w:val="000000"/>
          <w:sz w:val="22"/>
          <w:szCs w:val="22"/>
        </w:rPr>
        <w:t xml:space="preserve">　適用範囲</w:t>
      </w:r>
    </w:p>
    <w:p>
      <w:pPr>
        <w:spacing w:after="60" w:before="60" w:line="320"/>
        <w:jc w:val="left"/>
      </w:pPr>
      <w:r>
        <w:rPr>
          <w:rFonts w:ascii="Arial" w:cs="Arial" w:eastAsia="Arial" w:hAnsi="Arial"/>
          <w:b w:val="false"/>
          <w:bCs w:val="false"/>
          <w:i w:val="false"/>
          <w:iCs w:val="false"/>
          <w:color w:val="000000"/>
          <w:sz w:val="22"/>
          <w:szCs w:val="22"/>
        </w:rPr>
        <w:t xml:space="preserve">本基準は以下のソフトウェア種別に適用する。</w:t>
      </w:r>
    </w:p>
    <w:p>
      <w:pPr>
        <w:spacing w:after="40" w:before="40" w:line="320"/>
        <w:ind w:left="360"/>
        <w:jc w:val="left"/>
      </w:pPr>
      <w:r>
        <w:rPr>
          <w:rFonts w:ascii="Arial" w:cs="Arial" w:eastAsia="Arial" w:hAnsi="Arial"/>
          <w:b/>
          <w:bCs/>
          <w:i w:val="false"/>
          <w:iCs w:val="false"/>
          <w:color w:val="000000"/>
          <w:sz w:val="22"/>
          <w:szCs w:val="22"/>
        </w:rPr>
        <w:t xml:space="preserve">2　</w:t>
      </w:r>
      <w:r>
        <w:rPr>
          <w:rFonts w:ascii="Arial" w:cs="Arial" w:eastAsia="Arial" w:hAnsi="Arial"/>
          <w:b w:val="false"/>
          <w:bCs w:val="false"/>
          <w:i w:val="false"/>
          <w:iCs w:val="false"/>
          <w:color w:val="000000"/>
          <w:sz w:val="22"/>
          <w:szCs w:val="22"/>
        </w:rPr>
        <w:t xml:space="preserve">プロプライエタリソフトウェア（商用ライセンス）</w:t>
      </w:r>
    </w:p>
    <w:p>
      <w:pPr>
        <w:spacing w:after="40" w:before="40" w:line="320"/>
        <w:ind w:left="360"/>
        <w:jc w:val="left"/>
      </w:pPr>
      <w:r>
        <w:rPr>
          <w:rFonts w:ascii="Arial" w:cs="Arial" w:eastAsia="Arial" w:hAnsi="Arial"/>
          <w:b/>
          <w:bCs/>
          <w:i w:val="false"/>
          <w:iCs w:val="false"/>
          <w:color w:val="000000"/>
          <w:sz w:val="22"/>
          <w:szCs w:val="22"/>
        </w:rPr>
        <w:t xml:space="preserve">3　</w:t>
      </w:r>
      <w:r>
        <w:rPr>
          <w:rFonts w:ascii="Arial" w:cs="Arial" w:eastAsia="Arial" w:hAnsi="Arial"/>
          <w:b w:val="false"/>
          <w:bCs w:val="false"/>
          <w:i w:val="false"/>
          <w:iCs w:val="false"/>
          <w:color w:val="000000"/>
          <w:sz w:val="22"/>
          <w:szCs w:val="22"/>
        </w:rPr>
        <w:t xml:space="preserve">オープンソースソフトウェア（OSS）</w:t>
      </w:r>
    </w:p>
    <w:p>
      <w:pPr>
        <w:spacing w:after="40" w:before="40" w:line="320"/>
        <w:ind w:left="360"/>
        <w:jc w:val="left"/>
      </w:pPr>
      <w:r>
        <w:rPr>
          <w:rFonts w:ascii="Arial" w:cs="Arial" w:eastAsia="Arial" w:hAnsi="Arial"/>
          <w:b/>
          <w:bCs/>
          <w:i w:val="false"/>
          <w:iCs w:val="false"/>
          <w:color w:val="000000"/>
          <w:sz w:val="22"/>
          <w:szCs w:val="22"/>
        </w:rPr>
        <w:t xml:space="preserve">4　</w:t>
      </w:r>
      <w:r>
        <w:rPr>
          <w:rFonts w:ascii="Arial" w:cs="Arial" w:eastAsia="Arial" w:hAnsi="Arial"/>
          <w:b w:val="false"/>
          <w:bCs w:val="false"/>
          <w:i w:val="false"/>
          <w:iCs w:val="false"/>
          <w:color w:val="000000"/>
          <w:sz w:val="22"/>
          <w:szCs w:val="22"/>
        </w:rPr>
        <w:t xml:space="preserve">SaaS（SaaSについてはITAM-STD-003を主たる基準とし、本基準とあわせて適用する）</w:t>
      </w:r>
    </w:p>
    <w:p>
      <w:pPr>
        <w:spacing w:after="40" w:before="40" w:line="320"/>
        <w:ind w:left="360"/>
        <w:jc w:val="left"/>
      </w:pPr>
      <w:r>
        <w:rPr>
          <w:rFonts w:ascii="Arial" w:cs="Arial" w:eastAsia="Arial" w:hAnsi="Arial"/>
          <w:b/>
          <w:bCs/>
          <w:i w:val="false"/>
          <w:iCs w:val="false"/>
          <w:color w:val="000000"/>
          <w:sz w:val="22"/>
          <w:szCs w:val="22"/>
        </w:rPr>
        <w:t xml:space="preserve">5　</w:t>
      </w:r>
      <w:r>
        <w:rPr>
          <w:rFonts w:ascii="Arial" w:cs="Arial" w:eastAsia="Arial" w:hAnsi="Arial"/>
          <w:b w:val="false"/>
          <w:bCs w:val="false"/>
          <w:i w:val="false"/>
          <w:iCs w:val="false"/>
          <w:color w:val="000000"/>
          <w:sz w:val="22"/>
          <w:szCs w:val="22"/>
        </w:rPr>
        <w:t xml:space="preserve">インストール媒体・端末・サーバ・仮想化・VDI・コンテナ等で稼働するソフトウェア</w:t>
      </w:r>
    </w:p>
    <w:p>
      <w:pPr>
        <w:pStyle w:val="Heading2"/>
        <w:spacing w:after="120" w:before="240"/>
      </w:pPr>
      <w:r>
        <w:rPr>
          <w:rFonts w:ascii="Arial" w:cs="Arial" w:eastAsia="Arial" w:hAnsi="Arial"/>
          <w:b/>
          <w:bCs/>
          <w:color w:val="2E75B6"/>
          <w:sz w:val="24"/>
          <w:szCs w:val="24"/>
        </w:rPr>
        <w:t xml:space="preserve">第2章　ソフトウェア識別・正規化</w:t>
      </w:r>
    </w:p>
    <w:p>
      <w:pPr>
        <w:spacing w:after="80" w:before="200"/>
      </w:pPr>
      <w:r>
        <w:rPr>
          <w:rFonts w:ascii="Arial" w:cs="Arial" w:eastAsia="Arial" w:hAnsi="Arial"/>
          <w:b/>
          <w:bCs/>
          <w:color w:val="1F3864"/>
          <w:sz w:val="22"/>
          <w:szCs w:val="22"/>
        </w:rPr>
        <w:t xml:space="preserve">第3条</w:t>
      </w:r>
      <w:r>
        <w:rPr>
          <w:rFonts w:ascii="Arial" w:cs="Arial" w:eastAsia="Arial" w:hAnsi="Arial"/>
          <w:b/>
          <w:bCs/>
          <w:color w:val="000000"/>
          <w:sz w:val="22"/>
          <w:szCs w:val="22"/>
        </w:rPr>
        <w:t xml:space="preserve">　識別と正規化</w:t>
      </w:r>
    </w:p>
    <w:p>
      <w:pPr>
        <w:spacing w:after="60" w:before="60" w:line="320"/>
        <w:jc w:val="left"/>
      </w:pPr>
      <w:r>
        <w:rPr>
          <w:rFonts w:ascii="Arial" w:cs="Arial" w:eastAsia="Arial" w:hAnsi="Arial"/>
          <w:b w:val="false"/>
          <w:bCs w:val="false"/>
          <w:i w:val="false"/>
          <w:iCs w:val="false"/>
          <w:color w:val="000000"/>
          <w:sz w:val="22"/>
          <w:szCs w:val="22"/>
        </w:rPr>
        <w:t xml:space="preserve">検知したソフトウェアは、Publisher/Product/Edition/Versionの正規化辞書により一意化する。</w:t>
      </w:r>
    </w:p>
    <w:p>
      <w:pPr>
        <w:spacing w:after="40" w:before="40" w:line="320"/>
        <w:ind w:left="360"/>
        <w:jc w:val="left"/>
      </w:pPr>
      <w:r>
        <w:rPr>
          <w:rFonts w:ascii="Arial" w:cs="Arial" w:eastAsia="Arial" w:hAnsi="Arial"/>
          <w:b/>
          <w:bCs/>
          <w:i w:val="false"/>
          <w:iCs w:val="false"/>
          <w:color w:val="000000"/>
          <w:sz w:val="22"/>
          <w:szCs w:val="22"/>
        </w:rPr>
        <w:t xml:space="preserve">2　</w:t>
      </w:r>
      <w:r>
        <w:rPr>
          <w:rFonts w:ascii="Arial" w:cs="Arial" w:eastAsia="Arial" w:hAnsi="Arial"/>
          <w:b w:val="false"/>
          <w:bCs w:val="false"/>
          <w:i w:val="false"/>
          <w:iCs w:val="false"/>
          <w:color w:val="000000"/>
          <w:sz w:val="22"/>
          <w:szCs w:val="22"/>
        </w:rPr>
        <w:t xml:space="preserve">識別情報はSWIDタグ（ISO/IEC 19770-2）等の標準タグを優先的に利用し、識別の優先順位および信頼度（Authoritative）を定める。</w:t>
      </w:r>
    </w:p>
    <w:p>
      <w:pPr>
        <w:spacing w:after="40" w:before="40" w:line="320"/>
        <w:ind w:left="360"/>
        <w:jc w:val="left"/>
      </w:pPr>
      <w:r>
        <w:rPr>
          <w:rFonts w:ascii="Arial" w:cs="Arial" w:eastAsia="Arial" w:hAnsi="Arial"/>
          <w:b/>
          <w:bCs/>
          <w:i w:val="false"/>
          <w:iCs w:val="false"/>
          <w:color w:val="000000"/>
          <w:sz w:val="22"/>
          <w:szCs w:val="22"/>
        </w:rPr>
        <w:t xml:space="preserve">3　</w:t>
      </w:r>
      <w:r>
        <w:rPr>
          <w:rFonts w:ascii="Arial" w:cs="Arial" w:eastAsia="Arial" w:hAnsi="Arial"/>
          <w:b w:val="false"/>
          <w:bCs w:val="false"/>
          <w:i w:val="false"/>
          <w:iCs w:val="false"/>
          <w:color w:val="000000"/>
          <w:sz w:val="22"/>
          <w:szCs w:val="22"/>
        </w:rPr>
        <w:t xml:space="preserve">軽量表現のCoSWID（IETF RFC 9393）も識別情報として採用可能とする。</w:t>
      </w:r>
    </w:p>
    <w:p>
      <w:pPr>
        <w:spacing w:after="40" w:before="40" w:line="320"/>
        <w:ind w:left="360"/>
        <w:jc w:val="left"/>
      </w:pPr>
      <w:r>
        <w:rPr>
          <w:rFonts w:ascii="Arial" w:cs="Arial" w:eastAsia="Arial" w:hAnsi="Arial"/>
          <w:b/>
          <w:bCs/>
          <w:i w:val="false"/>
          <w:iCs w:val="false"/>
          <w:color w:val="000000"/>
          <w:sz w:val="22"/>
          <w:szCs w:val="22"/>
        </w:rPr>
        <w:t xml:space="preserve">4　</w:t>
      </w:r>
      <w:r>
        <w:rPr>
          <w:rFonts w:ascii="Arial" w:cs="Arial" w:eastAsia="Arial" w:hAnsi="Arial"/>
          <w:b w:val="false"/>
          <w:bCs w:val="false"/>
          <w:i w:val="false"/>
          <w:iCs w:val="false"/>
          <w:color w:val="000000"/>
          <w:sz w:val="22"/>
          <w:szCs w:val="22"/>
        </w:rPr>
        <w:t xml:space="preserve">ソフトウェア名称の正規化辞書は{SAMツールベンダまたは社内：未指定}が管理し、{四半期：未指定}ごとに更新する。</w:t>
      </w:r>
    </w:p>
    <w:p>
      <w:pPr>
        <w:spacing w:after="40" w:before="40" w:line="320"/>
        <w:ind w:left="360"/>
        <w:jc w:val="left"/>
      </w:pPr>
      <w:r>
        <w:rPr>
          <w:rFonts w:ascii="Arial" w:cs="Arial" w:eastAsia="Arial" w:hAnsi="Arial"/>
          <w:b/>
          <w:bCs/>
          <w:i w:val="false"/>
          <w:iCs w:val="false"/>
          <w:color w:val="000000"/>
          <w:sz w:val="22"/>
          <w:szCs w:val="22"/>
        </w:rPr>
        <w:t xml:space="preserve">5　</w:t>
      </w:r>
      <w:r>
        <w:rPr>
          <w:rFonts w:ascii="Arial" w:cs="Arial" w:eastAsia="Arial" w:hAnsi="Arial"/>
          <w:b w:val="false"/>
          <w:bCs w:val="false"/>
          <w:i w:val="false"/>
          <w:iCs w:val="false"/>
          <w:color w:val="000000"/>
          <w:sz w:val="22"/>
          <w:szCs w:val="22"/>
        </w:rPr>
        <w:t xml:space="preserve">検知できないソフトウェア（手動インストール等）は、利用者による自己申告と棚卸で補完する。</w:t>
      </w:r>
    </w:p>
    <w:p>
      <w:pPr>
        <w:pStyle w:val="Heading2"/>
        <w:spacing w:after="120" w:before="240"/>
      </w:pPr>
      <w:r>
        <w:rPr>
          <w:rFonts w:ascii="Arial" w:cs="Arial" w:eastAsia="Arial" w:hAnsi="Arial"/>
          <w:b/>
          <w:bCs/>
          <w:color w:val="2E75B6"/>
          <w:sz w:val="24"/>
          <w:szCs w:val="24"/>
        </w:rPr>
        <w:t xml:space="preserve">第3章　エンタイトルメント管理</w:t>
      </w:r>
    </w:p>
    <w:p>
      <w:pPr>
        <w:spacing w:after="80" w:before="200"/>
      </w:pPr>
      <w:r>
        <w:rPr>
          <w:rFonts w:ascii="Arial" w:cs="Arial" w:eastAsia="Arial" w:hAnsi="Arial"/>
          <w:b/>
          <w:bCs/>
          <w:color w:val="1F3864"/>
          <w:sz w:val="22"/>
          <w:szCs w:val="22"/>
        </w:rPr>
        <w:t xml:space="preserve">第4条</w:t>
      </w:r>
      <w:r>
        <w:rPr>
          <w:rFonts w:ascii="Arial" w:cs="Arial" w:eastAsia="Arial" w:hAnsi="Arial"/>
          <w:b/>
          <w:bCs/>
          <w:color w:val="000000"/>
          <w:sz w:val="22"/>
          <w:szCs w:val="22"/>
        </w:rPr>
        <w:t xml:space="preserve">　権利（エンタイトルメント）管理</w:t>
      </w:r>
    </w:p>
    <w:p>
      <w:pPr>
        <w:spacing w:after="60" w:before="60" w:line="320"/>
        <w:jc w:val="left"/>
      </w:pPr>
      <w:r>
        <w:rPr>
          <w:rFonts w:ascii="Arial" w:cs="Arial" w:eastAsia="Arial" w:hAnsi="Arial"/>
          <w:b w:val="false"/>
          <w:bCs w:val="false"/>
          <w:i w:val="false"/>
          <w:iCs w:val="false"/>
          <w:color w:val="000000"/>
          <w:sz w:val="22"/>
          <w:szCs w:val="22"/>
        </w:rPr>
        <w:t xml:space="preserve">権利（契約・利用許諾）は、契約書・注文書・ライセンス証書等の原本記録を「法的優先」とし、台帳上の権利データは原本の参照可能性を担保する（証跡リンク必須）。</w:t>
      </w:r>
    </w:p>
    <w:p>
      <w:pPr>
        <w:spacing w:after="40" w:before="40" w:line="320"/>
        <w:ind w:left="360"/>
        <w:jc w:val="left"/>
      </w:pPr>
      <w:r>
        <w:rPr>
          <w:rFonts w:ascii="Arial" w:cs="Arial" w:eastAsia="Arial" w:hAnsi="Arial"/>
          <w:b/>
          <w:bCs/>
          <w:i w:val="false"/>
          <w:iCs w:val="false"/>
          <w:color w:val="000000"/>
          <w:sz w:val="22"/>
          <w:szCs w:val="22"/>
        </w:rPr>
        <w:t xml:space="preserve">2　</w:t>
      </w:r>
      <w:r>
        <w:rPr>
          <w:rFonts w:ascii="Arial" w:cs="Arial" w:eastAsia="Arial" w:hAnsi="Arial"/>
          <w:b w:val="false"/>
          <w:bCs w:val="false"/>
          <w:i w:val="false"/>
          <w:iCs w:val="false"/>
          <w:color w:val="000000"/>
          <w:sz w:val="22"/>
          <w:szCs w:val="22"/>
        </w:rPr>
        <w:t xml:space="preserve">ライセンスメトリクス（ユーザー数/デバイス数/コア/仮想化/同時接続等）は製品ごとに定義し、計算式を文書化する。</w:t>
      </w:r>
    </w:p>
    <w:p>
      <w:pPr>
        <w:spacing w:after="40" w:before="40" w:line="320"/>
        <w:ind w:left="360"/>
        <w:jc w:val="left"/>
      </w:pPr>
      <w:r>
        <w:rPr>
          <w:rFonts w:ascii="Arial" w:cs="Arial" w:eastAsia="Arial" w:hAnsi="Arial"/>
          <w:b/>
          <w:bCs/>
          <w:i w:val="false"/>
          <w:iCs w:val="false"/>
          <w:color w:val="000000"/>
          <w:sz w:val="22"/>
          <w:szCs w:val="22"/>
        </w:rPr>
        <w:t xml:space="preserve">3　</w:t>
      </w:r>
      <w:r>
        <w:rPr>
          <w:rFonts w:ascii="Arial" w:cs="Arial" w:eastAsia="Arial" w:hAnsi="Arial"/>
          <w:b w:val="false"/>
          <w:bCs w:val="false"/>
          <w:i w:val="false"/>
          <w:iCs w:val="false"/>
          <w:color w:val="000000"/>
          <w:sz w:val="22"/>
          <w:szCs w:val="22"/>
        </w:rPr>
        <w:t xml:space="preserve">複雑なメトリクス（仮想化係数・サブキャパシティ等）は{半期：未指定}ごとに検証する。</w:t>
      </w:r>
    </w:p>
    <w:p>
      <w:pPr>
        <w:spacing w:after="40" w:before="40" w:line="320"/>
        <w:ind w:left="360"/>
        <w:jc w:val="left"/>
      </w:pPr>
      <w:r>
        <w:rPr>
          <w:rFonts w:ascii="Arial" w:cs="Arial" w:eastAsia="Arial" w:hAnsi="Arial"/>
          <w:b/>
          <w:bCs/>
          <w:i w:val="false"/>
          <w:iCs w:val="false"/>
          <w:color w:val="000000"/>
          <w:sz w:val="22"/>
          <w:szCs w:val="22"/>
        </w:rPr>
        <w:t xml:space="preserve">4　</w:t>
      </w:r>
      <w:r>
        <w:rPr>
          <w:rFonts w:ascii="Arial" w:cs="Arial" w:eastAsia="Arial" w:hAnsi="Arial"/>
          <w:b w:val="false"/>
          <w:bCs w:val="false"/>
          <w:i w:val="false"/>
          <w:iCs w:val="false"/>
          <w:color w:val="000000"/>
          <w:sz w:val="22"/>
          <w:szCs w:val="22"/>
        </w:rPr>
        <w:t xml:space="preserve">権利データと検知データを突合し、実効ライセンスポジション（ELP）を算出する。</w:t>
      </w:r>
    </w:p>
    <w:p>
      <w:pPr>
        <w:spacing w:after="40" w:before="40" w:line="320"/>
        <w:ind w:left="360"/>
        <w:jc w:val="left"/>
      </w:pPr>
      <w:r>
        <w:rPr>
          <w:rFonts w:ascii="Arial" w:cs="Arial" w:eastAsia="Arial" w:hAnsi="Arial"/>
          <w:b/>
          <w:bCs/>
          <w:i w:val="false"/>
          <w:iCs w:val="false"/>
          <w:color w:val="000000"/>
          <w:sz w:val="22"/>
          <w:szCs w:val="22"/>
        </w:rPr>
        <w:t xml:space="preserve">5　</w:t>
      </w:r>
      <w:r>
        <w:rPr>
          <w:rFonts w:ascii="Arial" w:cs="Arial" w:eastAsia="Arial" w:hAnsi="Arial"/>
          <w:b w:val="false"/>
          <w:bCs w:val="false"/>
          <w:i w:val="false"/>
          <w:iCs w:val="false"/>
          <w:color w:val="000000"/>
          <w:sz w:val="22"/>
          <w:szCs w:val="22"/>
        </w:rPr>
        <w:t xml:space="preserve">ELPが不足（アンダーライセンス）と判定された場合、{X}営業日以内に是正計画を策定する（{X：未指定}）。</w:t>
      </w:r>
    </w:p>
    <w:p>
      <w:pPr>
        <w:pStyle w:val="Heading2"/>
        <w:spacing w:after="120" w:before="240"/>
      </w:pPr>
      <w:r>
        <w:rPr>
          <w:rFonts w:ascii="Arial" w:cs="Arial" w:eastAsia="Arial" w:hAnsi="Arial"/>
          <w:b/>
          <w:bCs/>
          <w:color w:val="2E75B6"/>
          <w:sz w:val="24"/>
          <w:szCs w:val="24"/>
        </w:rPr>
        <w:t xml:space="preserve">第4章　インストール統制</w:t>
      </w:r>
    </w:p>
    <w:p>
      <w:pPr>
        <w:spacing w:after="80" w:before="200"/>
      </w:pPr>
      <w:r>
        <w:rPr>
          <w:rFonts w:ascii="Arial" w:cs="Arial" w:eastAsia="Arial" w:hAnsi="Arial"/>
          <w:b/>
          <w:bCs/>
          <w:color w:val="1F3864"/>
          <w:sz w:val="22"/>
          <w:szCs w:val="22"/>
        </w:rPr>
        <w:t xml:space="preserve">第5条</w:t>
      </w:r>
      <w:r>
        <w:rPr>
          <w:rFonts w:ascii="Arial" w:cs="Arial" w:eastAsia="Arial" w:hAnsi="Arial"/>
          <w:b/>
          <w:bCs/>
          <w:color w:val="000000"/>
          <w:sz w:val="22"/>
          <w:szCs w:val="22"/>
        </w:rPr>
        <w:t xml:space="preserve">　インストール統制</w:t>
      </w:r>
    </w:p>
    <w:p>
      <w:pPr>
        <w:spacing w:after="60" w:before="60" w:line="320"/>
        <w:jc w:val="left"/>
      </w:pPr>
      <w:r>
        <w:rPr>
          <w:rFonts w:ascii="Arial" w:cs="Arial" w:eastAsia="Arial" w:hAnsi="Arial"/>
          <w:b w:val="false"/>
          <w:bCs w:val="false"/>
          <w:i w:val="false"/>
          <w:iCs w:val="false"/>
          <w:color w:val="000000"/>
          <w:sz w:val="22"/>
          <w:szCs w:val="22"/>
        </w:rPr>
        <w:t xml:space="preserve">認可ソフトウェア（ホワイトリスト）を定義し、未承認ソフトの導入を禁止する。</w:t>
      </w:r>
    </w:p>
    <w:p>
      <w:pPr>
        <w:spacing w:after="40" w:before="40" w:line="320"/>
        <w:ind w:left="360"/>
        <w:jc w:val="left"/>
      </w:pPr>
      <w:r>
        <w:rPr>
          <w:rFonts w:ascii="Arial" w:cs="Arial" w:eastAsia="Arial" w:hAnsi="Arial"/>
          <w:b/>
          <w:bCs/>
          <w:i w:val="false"/>
          <w:iCs w:val="false"/>
          <w:color w:val="000000"/>
          <w:sz w:val="22"/>
          <w:szCs w:val="22"/>
        </w:rPr>
        <w:t xml:space="preserve">2　</w:t>
      </w:r>
      <w:r>
        <w:rPr>
          <w:rFonts w:ascii="Arial" w:cs="Arial" w:eastAsia="Arial" w:hAnsi="Arial"/>
          <w:b w:val="false"/>
          <w:bCs w:val="false"/>
          <w:i w:val="false"/>
          <w:iCs w:val="false"/>
          <w:color w:val="000000"/>
          <w:sz w:val="22"/>
          <w:szCs w:val="22"/>
        </w:rPr>
        <w:t xml:space="preserve">例外はITAM-EXC-001「例外管理手順書」により期限付きで処理する。</w:t>
      </w:r>
    </w:p>
    <w:p>
      <w:pPr>
        <w:spacing w:after="40" w:before="40" w:line="320"/>
        <w:ind w:left="360"/>
        <w:jc w:val="left"/>
      </w:pPr>
      <w:r>
        <w:rPr>
          <w:rFonts w:ascii="Arial" w:cs="Arial" w:eastAsia="Arial" w:hAnsi="Arial"/>
          <w:b/>
          <w:bCs/>
          <w:i w:val="false"/>
          <w:iCs w:val="false"/>
          <w:color w:val="000000"/>
          <w:sz w:val="22"/>
          <w:szCs w:val="22"/>
        </w:rPr>
        <w:t xml:space="preserve">3　</w:t>
      </w:r>
      <w:r>
        <w:rPr>
          <w:rFonts w:ascii="Arial" w:cs="Arial" w:eastAsia="Arial" w:hAnsi="Arial"/>
          <w:b w:val="false"/>
          <w:bCs w:val="false"/>
          <w:i w:val="false"/>
          <w:iCs w:val="false"/>
          <w:color w:val="000000"/>
          <w:sz w:val="22"/>
          <w:szCs w:val="22"/>
        </w:rPr>
        <w:t xml:space="preserve">未承認ソフトウェアを検知した場合、{X}営業日以内に隔離・削除またはライセンス取得の判断を行う（{X：未指定}）。</w:t>
      </w:r>
    </w:p>
    <w:p>
      <w:pPr>
        <w:spacing w:after="40" w:before="40" w:line="320"/>
        <w:ind w:left="360"/>
        <w:jc w:val="left"/>
      </w:pPr>
      <w:r>
        <w:rPr>
          <w:rFonts w:ascii="Arial" w:cs="Arial" w:eastAsia="Arial" w:hAnsi="Arial"/>
          <w:b/>
          <w:bCs/>
          <w:i w:val="false"/>
          <w:iCs w:val="false"/>
          <w:color w:val="000000"/>
          <w:sz w:val="22"/>
          <w:szCs w:val="22"/>
        </w:rPr>
        <w:t xml:space="preserve">4　</w:t>
      </w:r>
      <w:r>
        <w:rPr>
          <w:rFonts w:ascii="Arial" w:cs="Arial" w:eastAsia="Arial" w:hAnsi="Arial"/>
          <w:b w:val="false"/>
          <w:bCs w:val="false"/>
          <w:i w:val="false"/>
          <w:iCs w:val="false"/>
          <w:color w:val="000000"/>
          <w:sz w:val="22"/>
          <w:szCs w:val="22"/>
        </w:rPr>
        <w:t xml:space="preserve">特権ユーザー（管理者権限）によるインストールも本統制の対象とする。</w:t>
      </w:r>
    </w:p>
    <w:p>
      <w:pPr>
        <w:pStyle w:val="Heading2"/>
        <w:spacing w:after="120" w:before="240"/>
      </w:pPr>
      <w:r>
        <w:rPr>
          <w:rFonts w:ascii="Arial" w:cs="Arial" w:eastAsia="Arial" w:hAnsi="Arial"/>
          <w:b/>
          <w:bCs/>
          <w:color w:val="2E75B6"/>
          <w:sz w:val="24"/>
          <w:szCs w:val="24"/>
        </w:rPr>
        <w:t xml:space="preserve">第5章　利用量測定・最適化</w:t>
      </w:r>
    </w:p>
    <w:p>
      <w:pPr>
        <w:spacing w:after="80" w:before="200"/>
      </w:pPr>
      <w:r>
        <w:rPr>
          <w:rFonts w:ascii="Arial" w:cs="Arial" w:eastAsia="Arial" w:hAnsi="Arial"/>
          <w:b/>
          <w:bCs/>
          <w:color w:val="1F3864"/>
          <w:sz w:val="22"/>
          <w:szCs w:val="22"/>
        </w:rPr>
        <w:t xml:space="preserve">第6条</w:t>
      </w:r>
      <w:r>
        <w:rPr>
          <w:rFonts w:ascii="Arial" w:cs="Arial" w:eastAsia="Arial" w:hAnsi="Arial"/>
          <w:b/>
          <w:bCs/>
          <w:color w:val="000000"/>
          <w:sz w:val="22"/>
          <w:szCs w:val="22"/>
        </w:rPr>
        <w:t xml:space="preserve">　利用量測定と再割当</w:t>
      </w:r>
    </w:p>
    <w:p>
      <w:pPr>
        <w:spacing w:after="60" w:before="60" w:line="320"/>
        <w:jc w:val="left"/>
      </w:pPr>
      <w:r>
        <w:rPr>
          <w:rFonts w:ascii="Arial" w:cs="Arial" w:eastAsia="Arial" w:hAnsi="Arial"/>
          <w:b w:val="false"/>
          <w:bCs w:val="false"/>
          <w:i w:val="false"/>
          <w:iCs w:val="false"/>
          <w:color w:val="000000"/>
          <w:sz w:val="22"/>
          <w:szCs w:val="22"/>
        </w:rPr>
        <w:t xml:space="preserve">利用実績（起動回数/利用時間/ピーク等）の取得方式を定義し、再割当（リハーベスト）基準を定める。</w:t>
      </w:r>
    </w:p>
    <w:p>
      <w:pPr>
        <w:spacing w:after="40" w:before="40" w:line="320"/>
        <w:ind w:left="360"/>
        <w:jc w:val="left"/>
      </w:pPr>
      <w:r>
        <w:rPr>
          <w:rFonts w:ascii="Arial" w:cs="Arial" w:eastAsia="Arial" w:hAnsi="Arial"/>
          <w:b/>
          <w:bCs/>
          <w:i w:val="false"/>
          <w:iCs w:val="false"/>
          <w:color w:val="000000"/>
          <w:sz w:val="22"/>
          <w:szCs w:val="22"/>
        </w:rPr>
        <w:t xml:space="preserve">2　</w:t>
      </w:r>
      <w:r>
        <w:rPr>
          <w:rFonts w:ascii="Arial" w:cs="Arial" w:eastAsia="Arial" w:hAnsi="Arial"/>
          <w:b w:val="false"/>
          <w:bCs w:val="false"/>
          <w:i w:val="false"/>
          <w:iCs w:val="false"/>
          <w:color w:val="000000"/>
          <w:sz w:val="22"/>
          <w:szCs w:val="22"/>
        </w:rPr>
        <w:t xml:space="preserve">利用量データはISO/IEC 19770-4（RUM）の情報構造標準に従い収集・管理する。</w:t>
      </w:r>
    </w:p>
    <w:p>
      <w:pPr>
        <w:spacing w:after="40" w:before="40" w:line="320"/>
        <w:ind w:left="360"/>
        <w:jc w:val="left"/>
      </w:pPr>
      <w:r>
        <w:rPr>
          <w:rFonts w:ascii="Arial" w:cs="Arial" w:eastAsia="Arial" w:hAnsi="Arial"/>
          <w:b/>
          <w:bCs/>
          <w:i w:val="false"/>
          <w:iCs w:val="false"/>
          <w:color w:val="000000"/>
          <w:sz w:val="22"/>
          <w:szCs w:val="22"/>
        </w:rPr>
        <w:t xml:space="preserve">3　</w:t>
      </w:r>
      <w:r>
        <w:rPr>
          <w:rFonts w:ascii="Arial" w:cs="Arial" w:eastAsia="Arial" w:hAnsi="Arial"/>
          <w:b w:val="false"/>
          <w:bCs w:val="false"/>
          <w:i w:val="false"/>
          <w:iCs w:val="false"/>
          <w:color w:val="000000"/>
          <w:sz w:val="22"/>
          <w:szCs w:val="22"/>
        </w:rPr>
        <w:t xml:space="preserve">利用率が{X}%以下かつ{Y}日間以上未使用のライセンスを「回収候補」として識別する（{X、Y：未指定}）。</w:t>
      </w:r>
    </w:p>
    <w:p>
      <w:pPr>
        <w:spacing w:after="40" w:before="40" w:line="320"/>
        <w:ind w:left="360"/>
        <w:jc w:val="left"/>
      </w:pPr>
      <w:r>
        <w:rPr>
          <w:rFonts w:ascii="Arial" w:cs="Arial" w:eastAsia="Arial" w:hAnsi="Arial"/>
          <w:b/>
          <w:bCs/>
          <w:i w:val="false"/>
          <w:iCs w:val="false"/>
          <w:color w:val="000000"/>
          <w:sz w:val="22"/>
          <w:szCs w:val="22"/>
        </w:rPr>
        <w:t xml:space="preserve">4　</w:t>
      </w:r>
      <w:r>
        <w:rPr>
          <w:rFonts w:ascii="Arial" w:cs="Arial" w:eastAsia="Arial" w:hAnsi="Arial"/>
          <w:b w:val="false"/>
          <w:bCs w:val="false"/>
          <w:i w:val="false"/>
          <w:iCs w:val="false"/>
          <w:color w:val="000000"/>
          <w:sz w:val="22"/>
          <w:szCs w:val="22"/>
        </w:rPr>
        <w:t xml:space="preserve">回収候補ライセンスは{月次：未指定}で確認し、利用者確認後に再割当または返却処理を行う。</w:t>
      </w:r>
    </w:p>
    <w:p>
      <w:pPr>
        <w:spacing w:after="40" w:before="40" w:line="320"/>
        <w:ind w:left="360"/>
        <w:jc w:val="left"/>
      </w:pPr>
      <w:r>
        <w:rPr>
          <w:rFonts w:ascii="Arial" w:cs="Arial" w:eastAsia="Arial" w:hAnsi="Arial"/>
          <w:b/>
          <w:bCs/>
          <w:i w:val="false"/>
          <w:iCs w:val="false"/>
          <w:color w:val="000000"/>
          <w:sz w:val="22"/>
          <w:szCs w:val="22"/>
        </w:rPr>
        <w:t xml:space="preserve">5　</w:t>
      </w:r>
      <w:r>
        <w:rPr>
          <w:rFonts w:ascii="Arial" w:cs="Arial" w:eastAsia="Arial" w:hAnsi="Arial"/>
          <w:b w:val="false"/>
          <w:bCs w:val="false"/>
          <w:i w:val="false"/>
          <w:iCs w:val="false"/>
          <w:color w:val="000000"/>
          <w:sz w:val="22"/>
          <w:szCs w:val="22"/>
        </w:rPr>
        <w:t xml:space="preserve">利用量測定が技術的に不可能な場合は、その理由を台帳に記録し代替手順を定める。</w:t>
      </w:r>
    </w:p>
    <w:p>
      <w:pPr>
        <w:pStyle w:val="Heading2"/>
        <w:spacing w:after="120" w:before="240"/>
      </w:pPr>
      <w:r>
        <w:rPr>
          <w:rFonts w:ascii="Arial" w:cs="Arial" w:eastAsia="Arial" w:hAnsi="Arial"/>
          <w:b/>
          <w:bCs/>
          <w:color w:val="2E75B6"/>
          <w:sz w:val="24"/>
          <w:szCs w:val="24"/>
        </w:rPr>
        <w:t xml:space="preserve">第6章　OSSコンプライアンス</w:t>
      </w:r>
    </w:p>
    <w:p>
      <w:pPr>
        <w:spacing w:after="80" w:before="200"/>
      </w:pPr>
      <w:r>
        <w:rPr>
          <w:rFonts w:ascii="Arial" w:cs="Arial" w:eastAsia="Arial" w:hAnsi="Arial"/>
          <w:b/>
          <w:bCs/>
          <w:color w:val="1F3864"/>
          <w:sz w:val="22"/>
          <w:szCs w:val="22"/>
        </w:rPr>
        <w:t xml:space="preserve">第7条</w:t>
      </w:r>
      <w:r>
        <w:rPr>
          <w:rFonts w:ascii="Arial" w:cs="Arial" w:eastAsia="Arial" w:hAnsi="Arial"/>
          <w:b/>
          <w:bCs/>
          <w:color w:val="000000"/>
          <w:sz w:val="22"/>
          <w:szCs w:val="22"/>
        </w:rPr>
        <w:t xml:space="preserve">　OSSコンプライアンス</w:t>
      </w:r>
    </w:p>
    <w:p>
      <w:pPr>
        <w:spacing w:after="60" w:before="60" w:line="320"/>
        <w:jc w:val="left"/>
      </w:pPr>
      <w:r>
        <w:rPr>
          <w:rFonts w:ascii="Arial" w:cs="Arial" w:eastAsia="Arial" w:hAnsi="Arial"/>
          <w:b w:val="false"/>
          <w:bCs w:val="false"/>
          <w:i w:val="false"/>
          <w:iCs w:val="false"/>
          <w:color w:val="000000"/>
          <w:sz w:val="22"/>
          <w:szCs w:val="22"/>
        </w:rPr>
        <w:t xml:space="preserve">OSS利用は、ライセンス種別・義務（表示、原文提供、ソース公開等）を把握し、配布物/社内利用/クラウド提供の区分に応じて遵守する。</w:t>
      </w:r>
    </w:p>
    <w:p>
      <w:pPr>
        <w:spacing w:after="40" w:before="40" w:line="320"/>
        <w:ind w:left="360"/>
        <w:jc w:val="left"/>
      </w:pPr>
      <w:r>
        <w:rPr>
          <w:rFonts w:ascii="Arial" w:cs="Arial" w:eastAsia="Arial" w:hAnsi="Arial"/>
          <w:b/>
          <w:bCs/>
          <w:i w:val="false"/>
          <w:iCs w:val="false"/>
          <w:color w:val="000000"/>
          <w:sz w:val="22"/>
          <w:szCs w:val="22"/>
        </w:rPr>
        <w:t xml:space="preserve">2　</w:t>
      </w:r>
      <w:r>
        <w:rPr>
          <w:rFonts w:ascii="Arial" w:cs="Arial" w:eastAsia="Arial" w:hAnsi="Arial"/>
          <w:b w:val="false"/>
          <w:bCs w:val="false"/>
          <w:i w:val="false"/>
          <w:iCs w:val="false"/>
          <w:color w:val="000000"/>
          <w:sz w:val="22"/>
          <w:szCs w:val="22"/>
        </w:rPr>
        <w:t xml:space="preserve">OSS台帳（部品表/依存関係/ライセンス）と承認フローを定め、{OSS管理ツール：未指定}で管理する。</w:t>
      </w:r>
    </w:p>
    <w:p>
      <w:pPr>
        <w:spacing w:after="40" w:before="40" w:line="320"/>
        <w:ind w:left="360"/>
        <w:jc w:val="left"/>
      </w:pPr>
      <w:r>
        <w:rPr>
          <w:rFonts w:ascii="Arial" w:cs="Arial" w:eastAsia="Arial" w:hAnsi="Arial"/>
          <w:b/>
          <w:bCs/>
          <w:i w:val="false"/>
          <w:iCs w:val="false"/>
          <w:color w:val="000000"/>
          <w:sz w:val="22"/>
          <w:szCs w:val="22"/>
        </w:rPr>
        <w:t xml:space="preserve">3　</w:t>
      </w:r>
      <w:r>
        <w:rPr>
          <w:rFonts w:ascii="Arial" w:cs="Arial" w:eastAsia="Arial" w:hAnsi="Arial"/>
          <w:b w:val="false"/>
          <w:bCs w:val="false"/>
          <w:i w:val="false"/>
          <w:iCs w:val="false"/>
          <w:color w:val="000000"/>
          <w:sz w:val="22"/>
          <w:szCs w:val="22"/>
        </w:rPr>
        <w:t xml:space="preserve">GPL等のコピーレフトライセンスについては、ソース公開義務を事前に確認し法務と協議する。</w:t>
      </w:r>
    </w:p>
    <w:p>
      <w:pPr>
        <w:spacing w:after="40" w:before="40" w:line="320"/>
        <w:ind w:left="360"/>
        <w:jc w:val="left"/>
      </w:pPr>
      <w:r>
        <w:rPr>
          <w:rFonts w:ascii="Arial" w:cs="Arial" w:eastAsia="Arial" w:hAnsi="Arial"/>
          <w:b/>
          <w:bCs/>
          <w:i w:val="false"/>
          <w:iCs w:val="false"/>
          <w:color w:val="000000"/>
          <w:sz w:val="22"/>
          <w:szCs w:val="22"/>
        </w:rPr>
        <w:t xml:space="preserve">4　</w:t>
      </w:r>
      <w:r>
        <w:rPr>
          <w:rFonts w:ascii="Arial" w:cs="Arial" w:eastAsia="Arial" w:hAnsi="Arial"/>
          <w:b w:val="false"/>
          <w:bCs w:val="false"/>
          <w:i w:val="false"/>
          <w:iCs w:val="false"/>
          <w:color w:val="000000"/>
          <w:sz w:val="22"/>
          <w:szCs w:val="22"/>
        </w:rPr>
        <w:t xml:space="preserve">OSSの脆弱性管理は情報セキュリティ部門と連携し、CVSSスコア{未指定}以上の脆弱性を{X}日以内に対処する（{X：未指定}）。</w:t>
      </w:r>
    </w:p>
    <w:p>
      <w:pPr>
        <w:spacing w:after="40" w:before="40" w:line="320"/>
        <w:ind w:left="360"/>
        <w:jc w:val="left"/>
      </w:pPr>
      <w:r>
        <w:rPr>
          <w:rFonts w:ascii="Arial" w:cs="Arial" w:eastAsia="Arial" w:hAnsi="Arial"/>
          <w:b/>
          <w:bCs/>
          <w:i w:val="false"/>
          <w:iCs w:val="false"/>
          <w:color w:val="000000"/>
          <w:sz w:val="22"/>
          <w:szCs w:val="22"/>
        </w:rPr>
        <w:t xml:space="preserve">5　</w:t>
      </w:r>
      <w:r>
        <w:rPr>
          <w:rFonts w:ascii="Arial" w:cs="Arial" w:eastAsia="Arial" w:hAnsi="Arial"/>
          <w:b w:val="false"/>
          <w:bCs w:val="false"/>
          <w:i w:val="false"/>
          <w:iCs w:val="false"/>
          <w:color w:val="000000"/>
          <w:sz w:val="22"/>
          <w:szCs w:val="22"/>
        </w:rPr>
        <w:t xml:space="preserve">ISO/IEC 5230（OpenChain）の要求事項をOSSプロセスとして参照する。</w:t>
      </w:r>
    </w:p>
    <w:p>
      <w:pPr>
        <w:pStyle w:val="Heading2"/>
        <w:spacing w:after="120" w:before="240"/>
      </w:pPr>
      <w:r>
        <w:rPr>
          <w:rFonts w:ascii="Arial" w:cs="Arial" w:eastAsia="Arial" w:hAnsi="Arial"/>
          <w:b/>
          <w:bCs/>
          <w:color w:val="2E75B6"/>
          <w:sz w:val="24"/>
          <w:szCs w:val="24"/>
        </w:rPr>
        <w:t xml:space="preserve">第7章　監査・報告</w:t>
      </w:r>
    </w:p>
    <w:p>
      <w:pPr>
        <w:spacing w:after="80" w:before="200"/>
      </w:pPr>
      <w:r>
        <w:rPr>
          <w:rFonts w:ascii="Arial" w:cs="Arial" w:eastAsia="Arial" w:hAnsi="Arial"/>
          <w:b/>
          <w:bCs/>
          <w:color w:val="1F3864"/>
          <w:sz w:val="22"/>
          <w:szCs w:val="22"/>
        </w:rPr>
        <w:t xml:space="preserve">第8条</w:t>
      </w:r>
      <w:r>
        <w:rPr>
          <w:rFonts w:ascii="Arial" w:cs="Arial" w:eastAsia="Arial" w:hAnsi="Arial"/>
          <w:b/>
          <w:bCs/>
          <w:color w:val="000000"/>
          <w:sz w:val="22"/>
          <w:szCs w:val="22"/>
        </w:rPr>
        <w:t xml:space="preserve">　定期報告とベンダ監査対応</w:t>
      </w:r>
    </w:p>
    <w:p>
      <w:pPr>
        <w:spacing w:after="60" w:before="60" w:line="320"/>
        <w:jc w:val="left"/>
      </w:pPr>
      <w:r>
        <w:rPr>
          <w:rFonts w:ascii="Arial" w:cs="Arial" w:eastAsia="Arial" w:hAnsi="Arial"/>
          <w:b w:val="false"/>
          <w:bCs w:val="false"/>
          <w:i w:val="false"/>
          <w:iCs w:val="false"/>
          <w:color w:val="000000"/>
          <w:sz w:val="22"/>
          <w:szCs w:val="22"/>
        </w:rPr>
        <w:t xml:space="preserve">SAM担当者は{四半期：未指定}ごとにELPレポートをITAM統括責任者に報告する。</w:t>
      </w:r>
    </w:p>
    <w:p>
      <w:pPr>
        <w:spacing w:after="40" w:before="40" w:line="320"/>
        <w:ind w:left="360"/>
        <w:jc w:val="left"/>
      </w:pPr>
      <w:r>
        <w:rPr>
          <w:rFonts w:ascii="Arial" w:cs="Arial" w:eastAsia="Arial" w:hAnsi="Arial"/>
          <w:b/>
          <w:bCs/>
          <w:i w:val="false"/>
          <w:iCs w:val="false"/>
          <w:color w:val="000000"/>
          <w:sz w:val="22"/>
          <w:szCs w:val="22"/>
        </w:rPr>
        <w:t xml:space="preserve">2　</w:t>
      </w:r>
      <w:r>
        <w:rPr>
          <w:rFonts w:ascii="Arial" w:cs="Arial" w:eastAsia="Arial" w:hAnsi="Arial"/>
          <w:b w:val="false"/>
          <w:bCs w:val="false"/>
          <w:i w:val="false"/>
          <w:iCs w:val="false"/>
          <w:color w:val="000000"/>
          <w:sz w:val="22"/>
          <w:szCs w:val="22"/>
        </w:rPr>
        <w:t xml:space="preserve">ベンダ監査（Oracle LMS、IBM ILMT等）への対応は、ITAM-OPS-002「監査・コンプライアンス対応手順書」に従う。</w:t>
      </w:r>
    </w:p>
    <w:p>
      <w:pPr>
        <w:spacing w:after="40" w:before="40" w:line="320"/>
        <w:ind w:left="360"/>
        <w:jc w:val="left"/>
      </w:pPr>
      <w:r>
        <w:rPr>
          <w:rFonts w:ascii="Arial" w:cs="Arial" w:eastAsia="Arial" w:hAnsi="Arial"/>
          <w:b/>
          <w:bCs/>
          <w:i w:val="false"/>
          <w:iCs w:val="false"/>
          <w:color w:val="000000"/>
          <w:sz w:val="22"/>
          <w:szCs w:val="22"/>
        </w:rPr>
        <w:t xml:space="preserve">3　</w:t>
      </w:r>
      <w:r>
        <w:rPr>
          <w:rFonts w:ascii="Arial" w:cs="Arial" w:eastAsia="Arial" w:hAnsi="Arial"/>
          <w:b w:val="false"/>
          <w:bCs w:val="false"/>
          <w:i w:val="false"/>
          <w:iCs w:val="false"/>
          <w:color w:val="000000"/>
          <w:sz w:val="22"/>
          <w:szCs w:val="22"/>
        </w:rPr>
        <w:t xml:space="preserve">IBM製品はILMTによるサブキャパシティ測定を実施し、測定レポートを{四半期：未指定}ごとに保管する。</w:t>
      </w:r>
    </w:p>
    <w:p>
      <w:pPr>
        <w:spacing w:after="40" w:before="40" w:line="320"/>
        <w:ind w:left="360"/>
        <w:jc w:val="left"/>
      </w:pPr>
      <w:r>
        <w:rPr>
          <w:rFonts w:ascii="Arial" w:cs="Arial" w:eastAsia="Arial" w:hAnsi="Arial"/>
          <w:b/>
          <w:bCs/>
          <w:i w:val="false"/>
          <w:iCs w:val="false"/>
          <w:color w:val="000000"/>
          <w:sz w:val="22"/>
          <w:szCs w:val="22"/>
        </w:rPr>
        <w:t xml:space="preserve">4　</w:t>
      </w:r>
      <w:r>
        <w:rPr>
          <w:rFonts w:ascii="Arial" w:cs="Arial" w:eastAsia="Arial" w:hAnsi="Arial"/>
          <w:b w:val="false"/>
          <w:bCs w:val="false"/>
          <w:i w:val="false"/>
          <w:iCs w:val="false"/>
          <w:color w:val="000000"/>
          <w:sz w:val="22"/>
          <w:szCs w:val="22"/>
        </w:rPr>
        <w:t xml:space="preserve">Oracle製品はプロセッサ係数・仮想化係数を製品ごとに確認し、デプロイメント計算書を維持する。</w:t>
      </w:r>
    </w:p>
    <w:p>
      <w:pPr>
        <w:spacing w:after="60" w:before="60" w:line="320"/>
        <w:jc w:val="left"/>
      </w:pPr>
      <w:r>
        <w:rPr>
          <w:rFonts w:ascii="Arial" w:cs="Arial" w:eastAsia="Arial" w:hAnsi="Arial"/>
          <w:b w:val="false"/>
          <w:bCs w:val="false"/>
          <w:i w:val="false"/>
          <w:iCs w:val="false"/>
          <w:color w:val="000000"/>
          <w:sz w:val="22"/>
          <w:szCs w:val="22"/>
        </w:rPr>
        <w:t xml:space="preserve"/>
      </w: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0"/>
      </w:tblGrid>
      <w:tr>
        <w:tc>
          <w:tcPr>
            <w:tcW w:type="dxa" w:w="9070"/>
            <w:tcBorders>
              <w:top w:val="single" w:color="AAAAAA" w:sz="4"/>
              <w:left w:val="single" w:color="AAAAAA" w:sz="4"/>
              <w:bottom w:val="single" w:color="AAAAAA" w:sz="4"/>
              <w:right w:val="single" w:color="AAAAAA" w:sz="4"/>
            </w:tcBorders>
            <w:shd w:fill="FFF2CC" w:val="clear"/>
            <w:tcMar>
              <w:top w:type="dxa" w:w="80"/>
              <w:left w:type="dxa" w:w="180"/>
              <w:bottom w:type="dxa" w:w="80"/>
              <w:right w:type="dxa" w:w="180"/>
            </w:tcMar>
          </w:tcPr>
          <w:p>
            <w:pPr>
              <w:spacing w:after="60" w:before="60" w:line="320"/>
              <w:jc w:val="left"/>
            </w:pPr>
            <w:r>
              <w:rPr>
                <w:rFonts w:ascii="Arial" w:cs="Arial" w:eastAsia="Arial" w:hAnsi="Arial"/>
                <w:b/>
                <w:bCs/>
                <w:i w:val="false"/>
                <w:iCs w:val="false"/>
                <w:color w:val="7F6000"/>
                <w:sz w:val="20"/>
                <w:szCs w:val="20"/>
              </w:rPr>
              <w:t xml:space="preserve">【注記】 </w:t>
            </w:r>
            <w:r>
              <w:rPr>
                <w:rFonts w:ascii="Arial" w:cs="Arial" w:eastAsia="Arial" w:hAnsi="Arial"/>
                <w:b w:val="false"/>
                <w:bCs w:val="false"/>
                <w:i w:val="false"/>
                <w:iCs w:val="false"/>
                <w:color w:val="7F6000"/>
                <w:sz w:val="20"/>
                <w:szCs w:val="20"/>
              </w:rPr>
              <w:t xml:space="preserve">本基準はISO/IEC 19770-2（SWIDタグ）、19770-3（エンタイトルメント）、19770-4（RUM）、ISO/IEC 5230（OpenChain）、NIST CM-8(3)（不正コンポーネント検知）に基づき設計されている。</w:t>
            </w:r>
          </w:p>
        </w:tc>
      </w:tr>
    </w:tbl>
    <w:p>
      <w:pPr>
        <w:spacing w:after="60" w:before="60" w:line="320"/>
        <w:jc w:val="left"/>
      </w:pPr>
      <w:r>
        <w:rPr>
          <w:rFonts w:ascii="Arial" w:cs="Arial" w:eastAsia="Arial" w:hAnsi="Arial"/>
          <w:b w:val="false"/>
          <w:bCs w:val="false"/>
          <w:i w:val="false"/>
          <w:iCs w:val="false"/>
          <w:color w:val="000000"/>
          <w:sz w:val="22"/>
          <w:szCs w:val="22"/>
        </w:rPr>
        <w:t xml:space="preserve"/>
      </w:r>
    </w:p>
    <w:p>
      <w:r>
        <w:br w:type="page"/>
      </w:r>
    </w:p>
    <w:p>
      <w:pPr>
        <w:pStyle w:val="Heading1"/>
        <w:spacing w:after="180" w:before="360"/>
      </w:pPr>
      <w:r>
        <w:rPr>
          <w:rFonts w:ascii="Arial" w:cs="Arial" w:eastAsia="Arial" w:hAnsi="Arial"/>
          <w:b/>
          <w:bCs/>
          <w:color w:val="1F3864"/>
          <w:sz w:val="28"/>
          <w:szCs w:val="28"/>
        </w:rPr>
        <w:t xml:space="preserve">改定履歴</w:t>
      </w:r>
    </w:p>
    <w:tbl>
      <w:tblPr>
        <w:tblW w:type="dxa" w:w="9070"/>
        <w:tblBorders>
          <w:top w:val="single" w:color="auto" w:sz="4"/>
          <w:left w:val="single" w:color="auto" w:sz="4"/>
          <w:bottom w:val="single" w:color="auto" w:sz="4"/>
          <w:right w:val="single" w:color="auto" w:sz="4"/>
          <w:insideH w:val="single" w:color="auto" w:sz="4"/>
          <w:insideV w:val="single" w:color="auto" w:sz="4"/>
        </w:tblBorders>
      </w:tblPr>
      <w:tblGrid>
        <w:gridCol w:w="907"/>
        <w:gridCol w:w="1814"/>
        <w:gridCol w:w="4535"/>
        <w:gridCol w:w="1814"/>
      </w:tblGrid>
      <w:tr>
        <w:tc>
          <w:tcPr>
            <w:tcW w:type="dxa" w:w="907"/>
            <w:tcBorders>
              <w:top w:val="single" w:color="2E75B6" w:sz="4"/>
              <w:left w:val="single" w:color="2E75B6" w:sz="4"/>
              <w:bottom w:val="single" w:color="2E75B6" w:sz="4"/>
              <w:right w:val="single" w:color="2E75B6" w:sz="4"/>
            </w:tcBorders>
            <w:shd w:fill="1F3864" w:val="clear"/>
            <w:tcMar>
              <w:top w:type="dxa" w:w="80"/>
              <w:left w:type="dxa" w:w="120"/>
              <w:bottom w:type="dxa" w:w="80"/>
              <w:right w:type="dxa" w:w="120"/>
            </w:tcMar>
          </w:tcPr>
          <w:p>
            <w:pPr>
              <w:spacing w:after="60" w:before="60" w:line="320"/>
              <w:jc w:val="center"/>
            </w:pPr>
            <w:r>
              <w:rPr>
                <w:rFonts w:ascii="Arial" w:cs="Arial" w:eastAsia="Arial" w:hAnsi="Arial"/>
                <w:b/>
                <w:bCs/>
                <w:i w:val="false"/>
                <w:iCs w:val="false"/>
                <w:color w:val="FFFFFF"/>
                <w:sz w:val="20"/>
                <w:szCs w:val="20"/>
              </w:rPr>
              <w:t xml:space="preserve">版数</w:t>
            </w:r>
          </w:p>
        </w:tc>
        <w:tc>
          <w:tcPr>
            <w:tcW w:type="dxa" w:w="1814"/>
            <w:tcBorders>
              <w:top w:val="single" w:color="2E75B6" w:sz="4"/>
              <w:left w:val="single" w:color="2E75B6" w:sz="4"/>
              <w:bottom w:val="single" w:color="2E75B6" w:sz="4"/>
              <w:right w:val="single" w:color="2E75B6" w:sz="4"/>
            </w:tcBorders>
            <w:shd w:fill="1F3864" w:val="clear"/>
            <w:tcMar>
              <w:top w:type="dxa" w:w="80"/>
              <w:left w:type="dxa" w:w="120"/>
              <w:bottom w:type="dxa" w:w="80"/>
              <w:right w:type="dxa" w:w="120"/>
            </w:tcMar>
          </w:tcPr>
          <w:p>
            <w:pPr>
              <w:spacing w:after="60" w:before="60" w:line="320"/>
              <w:jc w:val="center"/>
            </w:pPr>
            <w:r>
              <w:rPr>
                <w:rFonts w:ascii="Arial" w:cs="Arial" w:eastAsia="Arial" w:hAnsi="Arial"/>
                <w:b/>
                <w:bCs/>
                <w:i w:val="false"/>
                <w:iCs w:val="false"/>
                <w:color w:val="FFFFFF"/>
                <w:sz w:val="20"/>
                <w:szCs w:val="20"/>
              </w:rPr>
              <w:t xml:space="preserve">施行日</w:t>
            </w:r>
          </w:p>
        </w:tc>
        <w:tc>
          <w:tcPr>
            <w:tcW w:type="dxa" w:w="4535"/>
            <w:tcBorders>
              <w:top w:val="single" w:color="2E75B6" w:sz="4"/>
              <w:left w:val="single" w:color="2E75B6" w:sz="4"/>
              <w:bottom w:val="single" w:color="2E75B6" w:sz="4"/>
              <w:right w:val="single" w:color="2E75B6" w:sz="4"/>
            </w:tcBorders>
            <w:shd w:fill="1F3864" w:val="clear"/>
            <w:tcMar>
              <w:top w:type="dxa" w:w="80"/>
              <w:left w:type="dxa" w:w="120"/>
              <w:bottom w:type="dxa" w:w="80"/>
              <w:right w:type="dxa" w:w="120"/>
            </w:tcMar>
          </w:tcPr>
          <w:p>
            <w:pPr>
              <w:spacing w:after="60" w:before="60" w:line="320"/>
              <w:jc w:val="center"/>
            </w:pPr>
            <w:r>
              <w:rPr>
                <w:rFonts w:ascii="Arial" w:cs="Arial" w:eastAsia="Arial" w:hAnsi="Arial"/>
                <w:b/>
                <w:bCs/>
                <w:i w:val="false"/>
                <w:iCs w:val="false"/>
                <w:color w:val="FFFFFF"/>
                <w:sz w:val="20"/>
                <w:szCs w:val="20"/>
              </w:rPr>
              <w:t xml:space="preserve">改定内容</w:t>
            </w:r>
          </w:p>
        </w:tc>
        <w:tc>
          <w:tcPr>
            <w:tcW w:type="dxa" w:w="1814"/>
            <w:tcBorders>
              <w:top w:val="single" w:color="2E75B6" w:sz="4"/>
              <w:left w:val="single" w:color="2E75B6" w:sz="4"/>
              <w:bottom w:val="single" w:color="2E75B6" w:sz="4"/>
              <w:right w:val="single" w:color="2E75B6" w:sz="4"/>
            </w:tcBorders>
            <w:shd w:fill="1F3864" w:val="clear"/>
            <w:tcMar>
              <w:top w:type="dxa" w:w="80"/>
              <w:left w:type="dxa" w:w="120"/>
              <w:bottom w:type="dxa" w:w="80"/>
              <w:right w:type="dxa" w:w="120"/>
            </w:tcMar>
          </w:tcPr>
          <w:p>
            <w:pPr>
              <w:spacing w:after="60" w:before="60" w:line="320"/>
              <w:jc w:val="center"/>
            </w:pPr>
            <w:r>
              <w:rPr>
                <w:rFonts w:ascii="Arial" w:cs="Arial" w:eastAsia="Arial" w:hAnsi="Arial"/>
                <w:b/>
                <w:bCs/>
                <w:i w:val="false"/>
                <w:iCs w:val="false"/>
                <w:color w:val="FFFFFF"/>
                <w:sz w:val="20"/>
                <w:szCs w:val="20"/>
              </w:rPr>
              <w:t xml:space="preserve">承認者</w:t>
            </w:r>
          </w:p>
        </w:tc>
      </w:tr>
      <w:tr>
        <w:tc>
          <w:tcPr>
            <w:tcW w:type="dxa" w:w="907"/>
            <w:tcBorders>
              <w:top w:val="single" w:color="CCCCCC" w:sz="4"/>
              <w:left w:val="single" w:color="CCCCCC" w:sz="4"/>
              <w:bottom w:val="single" w:color="CCCCCC" w:sz="4"/>
              <w:right w:val="single" w:color="CCCCCC"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v1.0</w:t>
            </w:r>
          </w:p>
        </w:tc>
        <w:tc>
          <w:tcPr>
            <w:tcW w:type="dxa" w:w="1814"/>
            <w:tcBorders>
              <w:top w:val="single" w:color="CCCCCC" w:sz="4"/>
              <w:left w:val="single" w:color="CCCCCC" w:sz="4"/>
              <w:bottom w:val="single" w:color="CCCCCC" w:sz="4"/>
              <w:right w:val="single" w:color="CCCCCC"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YYYY-MM-DD</w:t>
            </w:r>
          </w:p>
        </w:tc>
        <w:tc>
          <w:tcPr>
            <w:tcW w:type="dxa" w:w="4535"/>
            <w:tcBorders>
              <w:top w:val="single" w:color="CCCCCC" w:sz="4"/>
              <w:left w:val="single" w:color="CCCCCC" w:sz="4"/>
              <w:bottom w:val="single" w:color="CCCCCC" w:sz="4"/>
              <w:right w:val="single" w:color="CCCCCC"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（改定内容を記載）</w:t>
            </w:r>
          </w:p>
        </w:tc>
        <w:tc>
          <w:tcPr>
            <w:tcW w:type="dxa" w:w="1814"/>
            <w:tcBorders>
              <w:top w:val="single" w:color="CCCCCC" w:sz="4"/>
              <w:left w:val="single" w:color="CCCCCC" w:sz="4"/>
              <w:bottom w:val="single" w:color="CCCCCC" w:sz="4"/>
              <w:right w:val="single" w:color="CCCCCC"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（承認者）</w:t>
            </w:r>
          </w:p>
        </w:tc>
      </w:tr>
      <w:tr>
        <w:tc>
          <w:tcPr>
            <w:tcW w:type="dxa" w:w="907"/>
            <w:tcBorders>
              <w:top w:val="single" w:color="CCCCCC" w:sz="4"/>
              <w:left w:val="single" w:color="CCCCCC" w:sz="4"/>
              <w:bottom w:val="single" w:color="CCCCCC" w:sz="4"/>
              <w:right w:val="single" w:color="CCCCCC"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v1.1</w:t>
            </w:r>
          </w:p>
        </w:tc>
        <w:tc>
          <w:tcPr>
            <w:tcW w:type="dxa" w:w="1814"/>
            <w:tcBorders>
              <w:top w:val="single" w:color="CCCCCC" w:sz="4"/>
              <w:left w:val="single" w:color="CCCCCC" w:sz="4"/>
              <w:bottom w:val="single" w:color="CCCCCC" w:sz="4"/>
              <w:right w:val="single" w:color="CCCCCC"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YYYY-MM-DD</w:t>
            </w:r>
          </w:p>
        </w:tc>
        <w:tc>
          <w:tcPr>
            <w:tcW w:type="dxa" w:w="4535"/>
            <w:tcBorders>
              <w:top w:val="single" w:color="CCCCCC" w:sz="4"/>
              <w:left w:val="single" w:color="CCCCCC" w:sz="4"/>
              <w:bottom w:val="single" w:color="CCCCCC" w:sz="4"/>
              <w:right w:val="single" w:color="CCCCCC"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（改定内容を記載）</w:t>
            </w:r>
          </w:p>
        </w:tc>
        <w:tc>
          <w:tcPr>
            <w:tcW w:type="dxa" w:w="1814"/>
            <w:tcBorders>
              <w:top w:val="single" w:color="CCCCCC" w:sz="4"/>
              <w:left w:val="single" w:color="CCCCCC" w:sz="4"/>
              <w:bottom w:val="single" w:color="CCCCCC" w:sz="4"/>
              <w:right w:val="single" w:color="CCCCCC"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（承認者）</w:t>
            </w:r>
          </w:p>
        </w:tc>
      </w:tr>
      <w:tr>
        <w:tc>
          <w:tcPr>
            <w:tcW w:type="dxa" w:w="907"/>
            <w:tcBorders>
              <w:top w:val="single" w:color="CCCCCC" w:sz="4"/>
              <w:left w:val="single" w:color="CCCCCC" w:sz="4"/>
              <w:bottom w:val="single" w:color="CCCCCC" w:sz="4"/>
              <w:right w:val="single" w:color="CCCCCC"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v2.0</w:t>
            </w:r>
          </w:p>
        </w:tc>
        <w:tc>
          <w:tcPr>
            <w:tcW w:type="dxa" w:w="1814"/>
            <w:tcBorders>
              <w:top w:val="single" w:color="CCCCCC" w:sz="4"/>
              <w:left w:val="single" w:color="CCCCCC" w:sz="4"/>
              <w:bottom w:val="single" w:color="CCCCCC" w:sz="4"/>
              <w:right w:val="single" w:color="CCCCCC"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YYYY-MM-DD</w:t>
            </w:r>
          </w:p>
        </w:tc>
        <w:tc>
          <w:tcPr>
            <w:tcW w:type="dxa" w:w="4535"/>
            <w:tcBorders>
              <w:top w:val="single" w:color="CCCCCC" w:sz="4"/>
              <w:left w:val="single" w:color="CCCCCC" w:sz="4"/>
              <w:bottom w:val="single" w:color="CCCCCC" w:sz="4"/>
              <w:right w:val="single" w:color="CCCCCC"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（改定内容を記載）</w:t>
            </w:r>
          </w:p>
        </w:tc>
        <w:tc>
          <w:tcPr>
            <w:tcW w:type="dxa" w:w="1814"/>
            <w:tcBorders>
              <w:top w:val="single" w:color="CCCCCC" w:sz="4"/>
              <w:left w:val="single" w:color="CCCCCC" w:sz="4"/>
              <w:bottom w:val="single" w:color="CCCCCC" w:sz="4"/>
              <w:right w:val="single" w:color="CCCCCC" w:sz="4"/>
            </w:tcBorders>
            <w:shd w:fill="F5F5F5" w:val="clear"/>
            <w:tcMar>
              <w:top w:type="dxa" w:w="80"/>
              <w:left w:type="dxa" w:w="120"/>
              <w:bottom w:type="dxa" w:w="80"/>
              <w:right w:type="dxa" w:w="120"/>
            </w:tcMar>
          </w:tcPr>
          <w:p>
            <w:pPr>
              <w:spacing w:after="60" w:before="60" w:line="320"/>
              <w:jc w:val="left"/>
            </w:pPr>
            <w:r>
              <w:rPr>
                <w:rFonts w:ascii="Arial" w:cs="Arial" w:eastAsia="Arial" w:hAnsi="Arial"/>
                <w:b w:val="false"/>
                <w:bCs w:val="false"/>
                <w:i w:val="false"/>
                <w:iCs w:val="false"/>
                <w:color w:val="000000"/>
                <w:sz w:val="20"/>
                <w:szCs w:val="20"/>
              </w:rPr>
              <w:t xml:space="preserve">（承認者）</w:t>
            </w:r>
          </w:p>
        </w:tc>
      </w:tr>
    </w:tbl>
    <w:p>
      <w:pPr>
        <w:spacing w:after="60" w:before="60" w:line="320"/>
        <w:jc w:val="left"/>
      </w:pPr>
      <w:r>
        <w:rPr>
          <w:rFonts w:ascii="Arial" w:cs="Arial" w:eastAsia="Arial" w:hAnsi="Arial"/>
          <w:b w:val="false"/>
          <w:bCs w:val="false"/>
          <w:i w:val="false"/>
          <w:iCs w:val="false"/>
          <w:color w:val="000000"/>
          <w:sz w:val="22"/>
          <w:szCs w:val="22"/>
        </w:rPr>
        <w:t xml:space="preserve"/>
      </w:r>
    </w:p>
    <w:sectPr>
      <w:headerReference w:type="default" r:id="rId7"/>
      <w:footerReference w:type="default" r:id="rId8"/>
      <w:pgSz w:w="11906" w:h="16838" w:orient="portrait"/>
      <w:pgMar w:top="1418" w:right="1418" w:bottom="1418" w:left="1418"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4" w:space="4"/>
      </w:pBdr>
      <w:spacing w:before="80"/>
      <w:jc w:val="center"/>
    </w:pPr>
    <w:r>
      <w:rPr>
        <w:rFonts w:ascii="Arial" w:cs="Arial" w:eastAsia="Arial" w:hAnsi="Arial"/>
        <w:color w:val="888888"/>
        <w:sz w:val="18"/>
        <w:szCs w:val="18"/>
      </w:rPr>
      <w:t xml:space="preserve">ITAM-STD-002  |  Copyright 2026 ITAMS K.K.  |  </w:t>
    </w:r>
    <w:r>
      <w:rPr>
        <w:rFonts w:ascii="Arial" w:cs="Arial" w:eastAsia="Arial" w:hAnsi="Arial"/>
        <w:color w:val="888888"/>
        <w:sz w:val="18"/>
        <w:szCs w:val="18"/>
      </w:rPr>
      <w:fldChar w:fldCharType="begin"/>
      <w:instrText xml:space="preserve">PAGE</w:instrText>
      <w:fldChar w:fldCharType="separate"/>
      <w:fldChar w:fldCharType="end"/>
    </w:r>
    <w:r>
      <w:rPr>
        <w:rFonts w:ascii="Arial" w:cs="Arial" w:eastAsia="Arial" w:hAnsi="Arial"/>
        <w:color w:val="888888"/>
        <w:sz w:val="18"/>
        <w:szCs w:val="18"/>
      </w:rPr>
      <w:t xml:space="preserve"> / </w:t>
    </w:r>
    <w:r>
      <w:rPr>
        <w:rFonts w:ascii="Arial" w:cs="Arial" w:eastAsia="Arial" w:hAnsi="Arial"/>
        <w:color w:val="888888"/>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6" w:space="4"/>
      </w:pBdr>
      <w:tabs>
        <w:tab w:val="right" w:pos="9070"/>
      </w:tabs>
      <w:spacing w:after="80"/>
    </w:pPr>
    <w:r>
      <w:rPr>
        <w:rFonts w:ascii="Arial" w:cs="Arial" w:eastAsia="Arial" w:hAnsi="Arial"/>
        <w:color w:val="1F3864"/>
        <w:sz w:val="18"/>
        <w:szCs w:val="18"/>
      </w:rPr>
      <w:t xml:space="preserve">ソフトウェア資産管理基準（ライセンス／OSS含む）</w:t>
    </w:r>
    <w:r>
      <w:rPr>
        <w:rFonts w:ascii="Arial" w:cs="Arial" w:eastAsia="Arial" w:hAnsi="Arial"/>
      </w:rPr>
      <w:t xml:space="preserve">	</w:t>
    </w:r>
    <w:r>
      <w:rPr>
        <w:rFonts w:ascii="Arial" w:cs="Arial" w:eastAsia="Arial" w:hAnsi="Arial"/>
        <w:color w:val="888888"/>
        <w:sz w:val="18"/>
        <w:szCs w:val="18"/>
      </w:rPr>
      <w:t xml:space="preserve">ITAM-STD-002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1F3864"/>
      <w:sz w:val="28"/>
      <w:szCs w:val="28"/>
    </w:rPr>
  </w:style>
  <w:style w:type="paragraph" w:styleId="Heading2">
    <w:name w:val="Heading 2"/>
    <w:basedOn w:val="Normal"/>
    <w:next w:val="Normal"/>
    <w:qFormat/>
    <w:pPr>
      <w:spacing w:after="120" w:before="240"/>
      <w:outlineLvl w:val="1"/>
    </w:pPr>
    <w:rPr>
      <w:rFonts w:ascii="Arial" w:cs="Arial" w:eastAsia="Arial" w:hAnsi="Arial"/>
      <w:b/>
      <w:bCs/>
      <w:color w:val="2E75B6"/>
      <w:sz w:val="24"/>
      <w:szCs w:val="24"/>
    </w:rPr>
  </w:style>
  <w:style w:type="paragraph" w:styleId="Heading3">
    <w:name w:val="Heading 3"/>
    <w:basedOn w:val="Normal"/>
    <w:next w:val="Normal"/>
    <w:qFormat/>
    <w:pPr>
      <w:spacing w:after="80" w:before="180"/>
      <w:outlineLvl w:val="2"/>
    </w:pPr>
    <w:rPr>
      <w:rFonts w:ascii="Arial" w:cs="Arial" w:eastAsia="Arial" w:hAnsi="Arial"/>
      <w:b/>
      <w:bCs/>
      <w:color w:val="44444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2026-04-22T09:51:34.232Z</dcterms:created>
  <dcterms:modified xsi:type="dcterms:W3CDTF">2026-04-22T09:51:34.232Z</dcterms:modified>
</cp:coreProperties>
</file>

<file path=docProps/custom.xml><?xml version="1.0" encoding="utf-8"?>
<Properties xmlns="http://schemas.openxmlformats.org/officeDocument/2006/custom-properties" xmlns:vt="http://schemas.openxmlformats.org/officeDocument/2006/docPropsVTypes"/>
</file>