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0"/>
          <w:szCs w:val="20"/>
        </w:rPr>
        <w:t xml:space="preserve">ITAMS K.K.  |  ITAM/SAM Policy Document</w:t>
      </w:r>
    </w:p>
    <w:p>
      <w:pPr>
        <w:spacing w:after="24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Bdr>
          <w:top w:val="single" w:color="2E75B6" w:sz="0"/>
          <w:bottom w:val="single" w:color="2E75B6" w:sz="0"/>
        </w:pBdr>
        <w:shd w:fill="2E75B6" w:val="clear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FFFFFF"/>
          <w:sz w:val="20"/>
          <w:szCs w:val="20"/>
        </w:rPr>
        <w:t xml:space="preserve">手順（運用プロセス）</w:t>
      </w:r>
    </w:p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120" w:before="24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36"/>
          <w:szCs w:val="36"/>
        </w:rPr>
        <w:t xml:space="preserve">ITAM／SAM 運用プロセス定義書（統合）</w:t>
      </w:r>
    </w:p>
    <w:p>
      <w:pPr>
        <w:spacing w:after="36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2"/>
          <w:szCs w:val="22"/>
        </w:rPr>
        <w:t xml:space="preserve">ITAM-OPS-001</w:t>
      </w:r>
    </w:p>
    <w:p>
      <w:pPr>
        <w:spacing w:after="48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取得→配備→運用→廃棄と、SAM適正化（ELP）を標準化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79"/>
        <w:gridCol w:w="3355"/>
        <w:gridCol w:w="1179"/>
        <w:gridCol w:w="3355"/>
      </w:tblGrid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文書 ID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ITAM-OPS-001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v1.0（初版）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所管部門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{ITAM/SAMプロセスオーナー（未指定）}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ITSM責任者（未指定）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上位規程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ITAM-POL-001 ITAM/SAM統合基本規程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階層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手順（運用プロセス）</w:t>
            </w:r>
          </w:p>
        </w:tc>
      </w:tr>
    </w:tbl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0" w:before="0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注意：本文書は大手企業向けITAM/SAMポリシーテンプレートです。{未指定}と記載された箇所は、導入時に組織の実情に合わせて確定してください。</w:t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目次</w:t>
      </w:r>
    </w:p>
    <w:sdt>
      <w:sdtPr>
        <w:alias w:val="目次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本文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第1章　目的・スコープ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第1条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目的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本定義書は、IT資産のライフサイクル（取得→配備→運用→廃棄）とSAM適正化（ELP算出・是正）に関する運用プロセスを標準化し、ITSM（変更・要求・構成管理）との統合を実現することを目的とする。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第2条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スコープ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本定義書は以下のプロセスに適用する。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IT資産ライフサイクル管理（HW・SW・SaaS・クラウド）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SAM適正化プロセス（ELP算出・権利突合・是正）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ITSMとの連携プロセス（変更/要求/構成管理ゲート）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棚卸プロセス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例外・既知逸脱の管理プロセス（BYOL、DR、検証環境、M&amp;A移管、OEM、地域差等）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第2章　IT資産ライフサイクルプロセス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2.1 取得・調達フェーズ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第3条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取得・調達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IT資産の取得は、ITSMの要求管理（Service Request）または変更管理（Change Request）を起点とし、以下の手順で処理する。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事業部門・IT部門が調達要求を起票する（ITSM要求チケット）。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ITAM/SAMゲート①：ライセンスメトリクス確認・既存権利の余剰確認・調達要否の判断。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購買部門が発注処理を行い、発注情報をSoR（購買システム）に登録する。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納品・検収後、{X}営業日以内に資産台帳（CMDB/SoR）に登録する（{X：未指定}）。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ライセンスキー・証書は権利台帳に登録し、原本（電子）を安全な場所に保管する。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2.2 配備フェーズ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第4条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配備・展開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IT資産の配備は変更管理プロセスを経て実施し、台帳に反映する。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ITAM/SAMゲート②：配備前に権利台帳のエンタイトルメント残量を確認し、アンダーライセンスを防止する。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配備後、{X}営業日以内に台帳（所在・利用者・状態）を更新する（{X：未指定}）。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ソフトウェア配備は認可リスト（ホワイトリスト）に登録されたもののみ実施する。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仮想/クラウド環境への配備はIaCテンプレートを用い、タグ付けを自動化する。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2.3 運用フェーズ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第5条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運用中管理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稼働中のIT資産は、以下の統制を継続的に適用する。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インシデント・変更発生時は台帳を即時更新する（ITSM連携による自動更新を基本とする）。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SAM適正化：{四半期：未指定}ごとにELPを算出し、是正要否を判断する。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利用量測定：{SAMツール：未指定}により利用実績を収集し、未使用ライセンスの回収を推進する。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セキュリティ：EDR・パッチ管理・脆弱性スキャンとCMDB/台帳を連携させ、不正コンポーネントを検知する。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2.4 廃棄・返却フェーズ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第6条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廃棄・返却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IT資産の廃棄・返却は変更管理プロセスを経て実施し、台帳を即時更新する。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ITAM/SAMゲート③：廃棄前にライセンス回収・再割当・契約解約の可否を確認する。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HW廃棄：データ消去証明書を取得し、廃棄業者（認定業者のみ）の証跡とともに保管する。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SW廃棄：アンインストール確認後、権利台帳のエンタイトルメントを更新（回収/返却）する。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SaaS解約：ITAM-STD-003「SaaS管理基準」第6条に従い退会・データ削除を実施する。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廃棄記録は{保管年限：未指定}保管する。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第3章　SAM適正化プロセス（ELP）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第7条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ELP算出・是正プロセス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監査リスク・費用影響の大きいベンダ順に、検知→正規化→権利突合→是正を実施する。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ELP算出手順：①ソフトウェア検知データの収集（{SAMツール：未指定}）、②識別・正規化、③エンタイトルメントデータとの突合、④ELP算出（デプロイ数 vs 権利数）、⑤ポジション判定（適正/過剰/不足）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アンダーライセンスが判明した場合：{X}営業日以内に是正計画（追加購入/回収/設定変更）を策定・承認する（{X：未指定}）。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オーバーライセンスが判明した場合：次回更新時の削減オプションを財務・購買と協議する。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ELPレポートは{四半期：未指定}ごとにITAM統括責任者に提出する。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第4章　ITSM連携・例外管理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第8条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ITSMゲート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以下のITSMプロセスにITAMゲートを設定する。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要求管理（Service Request）：IT資産調達要求発生時のライセンス確認ゲート（ゲート①）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変更管理（Change Request）：IT資産変更・配備・廃棄時の台帳整合性確認ゲート（ゲート②・③）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構成管理（CMDB更新）：変更完了後の自動/手動台帳更新の確認ゲート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購買管理：発注→納品→資産登録のイベント駆動連携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第9条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例外・既知逸脱の管理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以下の既知例外は例外プロセスで管理し、台帳に記録する。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BYOL（Bring Your Own License）：持ち込みライセンスの証跡管理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DR（ディザスタリカバリ）環境：通常ライセンスポリシーの適用除外条件の確認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検証/テスト環境：開発/テスト用ライセンスの管理区分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M&amp;A移管：買収・合併時の資産・ライセンス移管手続き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OEM・バンドルライセンス：ハードウェアバンドルソフトの管理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7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地域差（適用国・地域の違いによるライセンス条件差異）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第5章　KPI・継続改善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第10条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KPIと継続改善（PDCA）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以下のKPIを{四半期：未指定}ごとに計測し、定例会（{月次/四半期：未指定}）で改善施策を議論する。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台帳カバレッジ：管理対象に対する登録率（目標：{未指定}）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ELP是正率：是正計画に対する完了率（目標：{未指定}%）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棚卸差分率（目標：{未指定}%以下）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ライセンスコスト削減額：リハーベスト・オーバーライセンス削減による節約額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未使用SaaS回収数：月次回収ライセンス数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7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監査指摘件数・是正率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0"/>
      </w:tblGrid>
      <w:tr>
        <w:tc>
          <w:tcPr>
            <w:tcW w:type="dxa" w:w="907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2CC" w:val="clear"/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F6000"/>
                <w:sz w:val="20"/>
                <w:szCs w:val="20"/>
              </w:rPr>
              <w:t xml:space="preserve">【注記】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7F6000"/>
                <w:sz w:val="20"/>
                <w:szCs w:val="20"/>
              </w:rPr>
              <w:t xml:space="preserve">本定義書はITIL 4「IT資産管理」「サービス構成管理」実践ガイド、ISO/IEC TS 19770-10（管理システム/機能管理/ライフサイクル整理）に基づき設計されている。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改定履歴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"/>
        <w:gridCol w:w="1814"/>
        <w:gridCol w:w="4535"/>
        <w:gridCol w:w="1814"/>
      </w:tblGrid>
      <w:tr>
        <w:tc>
          <w:tcPr>
            <w:tcW w:type="dxa" w:w="907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4535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改定内容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v1.1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v2.0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sectPr>
      <w:headerReference w:type="default" r:id="rId7"/>
      <w:footerReference w:type="default" r:id="rId8"/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spacing w:before="80"/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ITAM-OPS-001  |  Copyright 2026 ITAMS K.K.  | 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/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4"/>
      </w:pBdr>
      <w:tabs>
        <w:tab w:val="right" w:pos="9070"/>
      </w:tabs>
      <w:spacing w:after="80"/>
    </w:pPr>
    <w:r>
      <w:rPr>
        <w:rFonts w:ascii="Arial" w:cs="Arial" w:eastAsia="Arial" w:hAnsi="Arial"/>
        <w:color w:val="1F3864"/>
        <w:sz w:val="18"/>
        <w:szCs w:val="18"/>
      </w:rPr>
      <w:t xml:space="preserve">ITAM／SAM 運用プロセス定義書（統合）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888888"/>
        <w:sz w:val="18"/>
        <w:szCs w:val="18"/>
      </w:rPr>
      <w:t xml:space="preserve">ITAM-OPS-001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－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44444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2026-04-22T09:51:34.293Z</dcterms:created>
  <dcterms:modified xsi:type="dcterms:W3CDTF">2026-04-22T09:51:34.293Z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