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72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pPr>
        <w:jc w:val="center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888888"/>
          <w:sz w:val="20"/>
          <w:szCs w:val="20"/>
        </w:rPr>
        <w:t xml:space="preserve">ITAMS K.K.  |  ITAM/SAM Policy Document</w:t>
      </w:r>
    </w:p>
    <w:p>
      <w:pPr>
        <w:spacing w:after="24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pPr>
        <w:pBdr>
          <w:top w:val="single" w:color="2E75B6" w:sz="0"/>
          <w:bottom w:val="single" w:color="2E75B6" w:sz="0"/>
        </w:pBdr>
        <w:shd w:fill="2E75B6" w:val="clear"/>
        <w:jc w:val="center"/>
      </w:pPr>
      <w:r>
        <w:rPr>
          <w:rFonts w:ascii="Arial" w:cs="Arial" w:eastAsia="Arial" w:hAnsi="Arial"/>
          <w:b/>
          <w:bCs/>
          <w:i w:val="false"/>
          <w:iCs w:val="false"/>
          <w:color w:val="FFFFFF"/>
          <w:sz w:val="20"/>
          <w:szCs w:val="20"/>
        </w:rPr>
        <w:t xml:space="preserve">要件定義（ツール連携）</w:t>
      </w:r>
    </w:p>
    <w:p>
      <w:pPr>
        <w:spacing w:after="12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pPr>
        <w:spacing w:after="120" w:before="240"/>
        <w:jc w:val="center"/>
      </w:pPr>
      <w:r>
        <w:rPr>
          <w:rFonts w:ascii="Arial" w:cs="Arial" w:eastAsia="Arial" w:hAnsi="Arial"/>
          <w:b/>
          <w:bCs/>
          <w:i w:val="false"/>
          <w:iCs w:val="false"/>
          <w:color w:val="1F3864"/>
          <w:sz w:val="36"/>
          <w:szCs w:val="36"/>
        </w:rPr>
        <w:t xml:space="preserve">ツール連携要件定義（ITSM／CMDB／SAM）</w:t>
      </w:r>
    </w:p>
    <w:p>
      <w:pPr>
        <w:spacing w:after="360" w:before="0"/>
        <w:jc w:val="center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888888"/>
          <w:sz w:val="22"/>
          <w:szCs w:val="22"/>
        </w:rPr>
        <w:t xml:space="preserve">ITAM-REQ-001</w:t>
      </w:r>
    </w:p>
    <w:p>
      <w:pPr>
        <w:spacing w:after="480" w:before="0"/>
        <w:jc w:val="center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0"/>
          <w:szCs w:val="20"/>
        </w:rPr>
        <w:t xml:space="preserve">SoR設計・データ連携・ID体系・API・責任境界を定義</w:t>
      </w:r>
    </w:p>
    <w:tbl>
      <w:tblPr>
        <w:tblW w:type="dxa" w:w="907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179"/>
        <w:gridCol w:w="3355"/>
        <w:gridCol w:w="1179"/>
        <w:gridCol w:w="3355"/>
      </w:tblGrid>
      <w:tr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文書 ID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ITAM-REQ-001</w:t>
            </w:r>
          </w:p>
        </w:tc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版数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v1.0（初版）</w:t>
            </w:r>
          </w:p>
        </w:tc>
      </w:tr>
      <w:tr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施行日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{YYYY-MM-DD（未指定）}</w:t>
            </w:r>
          </w:p>
        </w:tc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改定日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{YYYY-MM-DD（未指定）}</w:t>
            </w:r>
          </w:p>
        </w:tc>
      </w:tr>
      <w:tr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所管部門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{アーキテクチャ/運用統括（未指定）}</w:t>
            </w:r>
          </w:p>
        </w:tc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承認者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アーキテクト（未指定）</w:t>
            </w:r>
          </w:p>
        </w:tc>
      </w:tr>
      <w:tr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上位規程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ITAM-POL-001 ITAM/SAM統合基本規程</w:t>
            </w:r>
          </w:p>
        </w:tc>
        <w:tc>
          <w:tcPr>
            <w:tcW w:type="dxa" w:w="1179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階層</w:t>
            </w:r>
          </w:p>
        </w:tc>
        <w:tc>
          <w:tcPr>
            <w:tcW w:type="dxa" w:w="3355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要件定義（ツール連携）</w:t>
            </w:r>
          </w:p>
        </w:tc>
      </w:tr>
    </w:tbl>
    <w:p>
      <w:pPr>
        <w:spacing w:after="12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pPr>
        <w:spacing w:after="0" w:before="0"/>
      </w:pPr>
      <w:r>
        <w:rPr>
          <w:rFonts w:ascii="Arial" w:cs="Arial" w:eastAsia="Arial" w:hAnsi="Arial"/>
          <w:b w:val="false"/>
          <w:bCs w:val="false"/>
          <w:i/>
          <w:iCs/>
          <w:color w:val="888888"/>
          <w:sz w:val="18"/>
          <w:szCs w:val="18"/>
        </w:rPr>
        <w:t xml:space="preserve">注意：本文書は大手企業向けITAM/SAMポリシーテンプレートです。{未指定}と記載された箇所は、導入時に組織の実情に合わせて確定してください。</w:t>
      </w:r>
    </w:p>
    <w:p>
      <w:r>
        <w:br w:type="page"/>
      </w:r>
    </w:p>
    <w:p>
      <w:pPr>
        <w:pStyle w:val="Heading1"/>
        <w:spacing w:after="180" w:before="36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目次</w:t>
      </w:r>
    </w:p>
    <w:sdt>
      <w:sdtPr>
        <w:alias w:val="目次"/>
      </w:sdtPr>
      <w:sdtContent>
        <w:p>
          <w:r>
            <w:fldChar w:fldCharType="begin" w:dirty="true"/>
            <w:instrText xml:space="preserve">TOC \h \o "1-3"</w:instrText>
            <w:fldChar w:fldCharType="separate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Heading1"/>
        <w:spacing w:after="180" w:before="36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本文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第1章　目的・スコープ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第1条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目的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本要件定義書は、ITAM/SAM管理に必要なツール群（ITSM・CMDB・SAMツール・購買・HR・IAM/SSO・MDM等）のSoR設計、データ連携、ID体系、API要件および責任境界を定め、ツール統合の一貫性と信頼性を確保することを目的とする。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第2条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スコープ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本要件定義書は以下のツール群に適用する。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ITSM：インシデント・変更・要求・構成管理（製品名：{未指定}）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CMDB：IT資産構成管理データベース（製品名：{未指定}）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SAMツール：ソフトウェア資産管理（製品名：{未指定}）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EDR/MDM：エンドポイント検知/モバイルデバイス管理（製品名：{未指定}）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6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購買システム：調達・発注管理（製品名：{未指定}）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7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HR（人事）システム：人員・組織管理（製品名：{未指定}）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8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IAM/SSO：ID・アクセス管理（製品名：{未指定}）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9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クラウドAPI：AWS/Azure/GCP等のAPIによるリソース情報収集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10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FinOpsツール：クラウドコスト管理（製品名：{未指定}）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第2章　SoR設計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第3条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SoR設計原則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各データドメインのSoR（権威ある情報源）を一意に定め、二重管理を排除する。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物理資産・仮想資産の台帳SoRは{CMDB/ITAMツール：未指定}とする。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ソフトウェア検知・ライセンスデータのSoRは{SAMツール：未指定}とする。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契約・購買データのSoRは{購買システム：未指定}とする。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人員・組織データのSoRは{HRシステム：未指定}とする。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6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ID・アカウントデータのSoRは{IAM/SSO：未指定}とする。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7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SoR間のデータ整合性は自動同期により維持し、手動修正は例外として記録する。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8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各SoRのデータオーナーを指定し、データ品質・アクセス制御に責任を負う。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第3章　データ連携要件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第4条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データ連携マトリクス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以下のデータ連携を実装する。連携方式・頻度・フォーマットは別紙「データ連携設計書（{文書ID：未指定}）」に詳細を定める。</w:t>
      </w:r>
    </w:p>
    <w:p>
      <w:pPr>
        <w:pStyle w:val="Heading3"/>
        <w:spacing w:after="80" w:before="180"/>
      </w:pPr>
      <w:r>
        <w:rPr>
          <w:rFonts w:ascii="Arial" w:cs="Arial" w:eastAsia="Arial" w:hAnsi="Arial"/>
          <w:b/>
          <w:bCs/>
          <w:color w:val="444444"/>
          <w:sz w:val="22"/>
          <w:szCs w:val="22"/>
        </w:rPr>
        <w:t xml:space="preserve">主要データ連携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CMDB ↔ ITSM：CI（Configuration Item）の変更イベントを双方向同期。変更完了時に自動反映（リアルタイム/イベント駆動）。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SAMツール → CMDB：ソフトウェア検知データを定期同期（頻度：{日次：未指定}）。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購買システム → CMDB：発注・納品データを資産登録イベントとして自動連携。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HRシステム → IAM/SSO：入退社・異動イベントをアカウント管理に連携（リアルタイム）。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IAM/SSO → SAMツール/SaaSカタログ：SSOログインイベントからSaaS利用状況を収集。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クラウドAPI → CMDB：AWS/Azure/GCP APIからリソース情報を定期収集（頻度：{日次：未指定}）。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EDR/MDM → CMDB：エンドポイント検知データ・MDMデバイス情報を同期。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第4章　ID体系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第5条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ID体系の設計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ITAM/SAMデータの一貫性を確保するため、以下のID体系を整備する。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資産ID：全IT資産に一意なIDを付与する（命名規則：{プレフィックス-カテゴリ-連番：未指定}）。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HWIDタグ（ISO/IEC 19770-6）：物理資産の識別にHWIDタグを活用可能な場合は利用する。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SWIDタグ（ISO/IEC 19770-2）：ソフトウェア識別にSWIDを優先利用する。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ユーザーID：HRシステムの社員番号を一次IDとし、各ツールのアカウントと紐付ける。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6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資産ID・ユーザーID間のマッピングはCMDBが管理する。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7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孤立アカウント（IDを持つが台帳に資産が存在しない）の定期棚卸を{四半期：未指定}ごとに実施する。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第5章　API要件・インターフェース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第6条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API要件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ツール間連携は原則としてREST API（または各ツールの標準コネクタ）を利用する。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APIセキュリティ：OAuth 2.0またはAPIキー認証。TLS 1.2以上を必須とする。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APIレート制限：各ツールのレート制限を考慮し、バッチ処理・リトライロジックを実装する。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エラー処理：連携失敗時は{担当者：未指定}に自動アラートを送信し、エラーログを保管する。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データ変換：ツール間のデータ形式差異はETLまたはミドルウェア（{未指定}）で吸収する。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6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CMDB APIはISO/IEC 19770-2/3/4/6の情報構造標準を参照し、データスキーマを設計する。</w:t>
      </w:r>
    </w:p>
    <w:p>
      <w:pPr>
        <w:pStyle w:val="Heading2"/>
        <w:spacing w:after="120" w:before="24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第6章　責任境界・ガバナンス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第7条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責任境界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ツール連携の責任境界を以下のとおり定める。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ITSM：インシデント・変更・要求管理のプロセスオーナー（{ITAM/SAM責任者：未指定}）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CMDB：データオーナーはIT資産カテゴリごとに指定する（ITAM-STD-001参照）。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SAMツール：SAM運用チームがツール設定・正規化辞書の維持管理を担う。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5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API接続アカウント：専用のサービスアカウントを使用し、人手アカウントとの混用を禁止する。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6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連携障害時の対応：{X}時間以内に担当者が検知・対応を開始する（{X：未指定}）。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7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ツール変更（バージョンアップ・廃止）時は変更管理プロセスを経て影響評価を行う。</w:t>
      </w:r>
    </w:p>
    <w:p>
      <w:pPr>
        <w:spacing w:after="80" w:before="200"/>
      </w:pPr>
      <w:r>
        <w:rPr>
          <w:rFonts w:ascii="Arial" w:cs="Arial" w:eastAsia="Arial" w:hAnsi="Arial"/>
          <w:b/>
          <w:bCs/>
          <w:color w:val="1F3864"/>
          <w:sz w:val="22"/>
          <w:szCs w:val="22"/>
        </w:rPr>
        <w:t xml:space="preserve">第8条</w:t>
      </w:r>
      <w:r>
        <w:rPr>
          <w:rFonts w:ascii="Arial" w:cs="Arial" w:eastAsia="Arial" w:hAnsi="Arial"/>
          <w:b/>
          <w:bCs/>
          <w:color w:val="000000"/>
          <w:sz w:val="22"/>
          <w:szCs w:val="22"/>
        </w:rPr>
        <w:t xml:space="preserve">　移行・拡張計画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ツール選定・導入後の継続的な改善計画を以下のとおり定める。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2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現行ツールから新ツールへの移行時は、データ移行計画書を作成し、{X}ヶ月以上のパラレル期間を設ける（{X：未指定}）。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3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CMDB/SAMツールの成熟度は{年次：未指定}で評価し、機能拡張ロードマップを更新する。</w:t>
      </w:r>
    </w:p>
    <w:p>
      <w:pPr>
        <w:spacing w:after="40" w:before="40" w:line="320"/>
        <w:ind w:left="36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000000"/>
          <w:sz w:val="22"/>
          <w:szCs w:val="22"/>
        </w:rPr>
        <w:t xml:space="preserve">4　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新技術（AI/ML活用・オートメーション強化等）の導入はアーキテクチャ委員会（{未指定}）で審議する。</w:t>
      </w:r>
    </w:p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tbl>
      <w:tblPr>
        <w:tblW w:type="dxa" w:w="907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70"/>
      </w:tblGrid>
      <w:tr>
        <w:tc>
          <w:tcPr>
            <w:tcW w:type="dxa" w:w="9070"/>
            <w:tcBorders>
              <w:top w:val="single" w:color="AAAAAA" w:sz="4"/>
              <w:left w:val="single" w:color="AAAAAA" w:sz="4"/>
              <w:bottom w:val="single" w:color="AAAAAA" w:sz="4"/>
              <w:right w:val="single" w:color="AAAAAA" w:sz="4"/>
            </w:tcBorders>
            <w:shd w:fill="FFF2CC" w:val="clear"/>
            <w:tcMar>
              <w:top w:type="dxa" w:w="80"/>
              <w:left w:type="dxa" w:w="180"/>
              <w:bottom w:type="dxa" w:w="80"/>
              <w:right w:type="dxa" w:w="18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7F6000"/>
                <w:sz w:val="20"/>
                <w:szCs w:val="20"/>
              </w:rPr>
              <w:t xml:space="preserve">【注記】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7F6000"/>
                <w:sz w:val="20"/>
                <w:szCs w:val="20"/>
              </w:rPr>
              <w:t xml:space="preserve">本要件定義書はISO/IEC 19770-2（SWIDタグ）、19770-3（エンタイトルメント）、19770-4（RUM）、19770-6（HWIDタグ）、ITIL 4に基づき設計されている。</w:t>
            </w:r>
          </w:p>
        </w:tc>
      </w:tr>
    </w:tbl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r>
        <w:br w:type="page"/>
      </w:r>
    </w:p>
    <w:p>
      <w:pPr>
        <w:pStyle w:val="Heading1"/>
        <w:spacing w:after="180" w:before="36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改定履歴</w:t>
      </w:r>
    </w:p>
    <w:tbl>
      <w:tblPr>
        <w:tblW w:type="dxa" w:w="907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7"/>
        <w:gridCol w:w="1814"/>
        <w:gridCol w:w="4535"/>
        <w:gridCol w:w="1814"/>
      </w:tblGrid>
      <w:tr>
        <w:tc>
          <w:tcPr>
            <w:tcW w:type="dxa" w:w="907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版数</w:t>
            </w:r>
          </w:p>
        </w:tc>
        <w:tc>
          <w:tcPr>
            <w:tcW w:type="dxa" w:w="1814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施行日</w:t>
            </w:r>
          </w:p>
        </w:tc>
        <w:tc>
          <w:tcPr>
            <w:tcW w:type="dxa" w:w="4535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改定内容</w:t>
            </w:r>
          </w:p>
        </w:tc>
        <w:tc>
          <w:tcPr>
            <w:tcW w:type="dxa" w:w="1814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386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承認者</w:t>
            </w:r>
          </w:p>
        </w:tc>
      </w:tr>
      <w:tr>
        <w:tc>
          <w:tcPr>
            <w:tcW w:type="dxa" w:w="907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v1.0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YYYY-MM-DD</w:t>
            </w:r>
          </w:p>
        </w:tc>
        <w:tc>
          <w:tcPr>
            <w:tcW w:type="dxa" w:w="4535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（改定内容を記載）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（承認者）</w:t>
            </w:r>
          </w:p>
        </w:tc>
      </w:tr>
      <w:tr>
        <w:tc>
          <w:tcPr>
            <w:tcW w:type="dxa" w:w="907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v1.1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YYYY-MM-DD</w:t>
            </w:r>
          </w:p>
        </w:tc>
        <w:tc>
          <w:tcPr>
            <w:tcW w:type="dxa" w:w="4535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（改定内容を記載）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（承認者）</w:t>
            </w:r>
          </w:p>
        </w:tc>
      </w:tr>
      <w:tr>
        <w:tc>
          <w:tcPr>
            <w:tcW w:type="dxa" w:w="907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v2.0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YYYY-MM-DD</w:t>
            </w:r>
          </w:p>
        </w:tc>
        <w:tc>
          <w:tcPr>
            <w:tcW w:type="dxa" w:w="4535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（改定内容を記載）</w:t>
            </w:r>
          </w:p>
        </w:tc>
        <w:tc>
          <w:tcPr>
            <w:tcW w:type="dxa" w:w="1814"/>
            <w:tcBorders>
              <w:top w:val="single" w:color="CCCCCC" w:sz="4"/>
              <w:left w:val="single" w:color="CCCCCC" w:sz="4"/>
              <w:bottom w:val="single" w:color="CCCCCC" w:sz="4"/>
              <w:right w:val="single" w:color="CCCCCC" w:sz="4"/>
            </w:tcBorders>
            <w:shd w:fill="F5F5F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after="60" w:before="60" w:line="3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（承認者）</w:t>
            </w:r>
          </w:p>
        </w:tc>
      </w:tr>
    </w:tbl>
    <w:p>
      <w:pPr>
        <w:spacing w:after="60" w:before="60" w:line="3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sectPr>
      <w:headerReference w:type="default" r:id="rId7"/>
      <w:footerReference w:type="default" r:id="rId8"/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4" w:space="4"/>
      </w:pBdr>
      <w:spacing w:before="80"/>
      <w:jc w:val="center"/>
    </w:pPr>
    <w:r>
      <w:rPr>
        <w:rFonts w:ascii="Arial" w:cs="Arial" w:eastAsia="Arial" w:hAnsi="Arial"/>
        <w:color w:val="888888"/>
        <w:sz w:val="18"/>
        <w:szCs w:val="18"/>
      </w:rPr>
      <w:t xml:space="preserve">ITAM-REQ-001  |  Copyright 2026 ITAMS K.K.  |  </w:t>
    </w:r>
    <w:r>
      <w:rPr>
        <w:rFonts w:ascii="Arial" w:cs="Arial" w:eastAsia="Arial" w:hAnsi="Arial"/>
        <w:color w:val="888888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888888"/>
        <w:sz w:val="18"/>
        <w:szCs w:val="18"/>
      </w:rPr>
      <w:t xml:space="preserve"> / </w:t>
    </w:r>
    <w:r>
      <w:rPr>
        <w:rFonts w:ascii="Arial" w:cs="Arial" w:eastAsia="Arial" w:hAnsi="Arial"/>
        <w:color w:val="888888"/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E75B6" w:sz="6" w:space="4"/>
      </w:pBdr>
      <w:tabs>
        <w:tab w:val="right" w:pos="9070"/>
      </w:tabs>
      <w:spacing w:after="80"/>
    </w:pPr>
    <w:r>
      <w:rPr>
        <w:rFonts w:ascii="Arial" w:cs="Arial" w:eastAsia="Arial" w:hAnsi="Arial"/>
        <w:color w:val="1F3864"/>
        <w:sz w:val="18"/>
        <w:szCs w:val="18"/>
      </w:rPr>
      <w:t xml:space="preserve">ツール連携要件定義（ITSM／CMDB／SAM）</w:t>
    </w:r>
    <w:r>
      <w:rPr>
        <w:rFonts w:ascii="Arial" w:cs="Arial" w:eastAsia="Arial" w:hAnsi="Arial"/>
      </w:rPr>
      <w:t xml:space="preserve">	</w:t>
    </w:r>
    <w:r>
      <w:rPr>
        <w:rFonts w:ascii="Arial" w:cs="Arial" w:eastAsia="Arial" w:hAnsi="Arial"/>
        <w:color w:val="888888"/>
        <w:sz w:val="18"/>
        <w:szCs w:val="18"/>
      </w:rPr>
      <w:t xml:space="preserve">ITAM-REQ-001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bullet"/>
      <w:lvlText w:val="－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360"/>
      <w:outlineLvl w:val="0"/>
    </w:pPr>
    <w:rPr>
      <w:rFonts w:ascii="Arial" w:cs="Arial" w:eastAsia="Arial" w:hAnsi="Arial"/>
      <w:b/>
      <w:bCs/>
      <w:color w:val="1F3864"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120" w:before="240"/>
      <w:outlineLvl w:val="1"/>
    </w:pPr>
    <w:rPr>
      <w:rFonts w:ascii="Arial" w:cs="Arial" w:eastAsia="Arial" w:hAnsi="Arial"/>
      <w:b/>
      <w:bCs/>
      <w:color w:val="2E75B6"/>
      <w:sz w:val="24"/>
      <w:szCs w:val="24"/>
    </w:rPr>
  </w:style>
  <w:style w:type="paragraph" w:styleId="Heading3">
    <w:name w:val="Heading 3"/>
    <w:basedOn w:val="Normal"/>
    <w:next w:val="Normal"/>
    <w:qFormat/>
    <w:pPr>
      <w:spacing w:after="80" w:before="180"/>
      <w:outlineLvl w:val="2"/>
    </w:pPr>
    <w:rPr>
      <w:rFonts w:ascii="Arial" w:cs="Arial" w:eastAsia="Arial" w:hAnsi="Arial"/>
      <w:b/>
      <w:bCs/>
      <w:color w:val="444444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2026-04-22T09:51:34.323Z</dcterms:created>
  <dcterms:modified xsi:type="dcterms:W3CDTF">2026-04-22T09:51:34.323Z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